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8C0D5">
      <w:pPr>
        <w:spacing w:line="420" w:lineRule="exact"/>
        <w:ind w:right="1512"/>
        <w:rPr>
          <w:rFonts w:ascii="Times New Roman" w:hAnsi="Times New Roman" w:eastAsia="仿宋_GB2312"/>
          <w:sz w:val="32"/>
          <w:szCs w:val="32"/>
        </w:rPr>
      </w:pPr>
    </w:p>
    <w:p w14:paraId="42601A52">
      <w:pPr>
        <w:spacing w:line="420" w:lineRule="exact"/>
        <w:ind w:right="1512"/>
        <w:rPr>
          <w:rFonts w:hint="eastAsia" w:ascii="黑体" w:hAnsi="黑体" w:eastAsia="黑体"/>
          <w:sz w:val="30"/>
          <w:szCs w:val="30"/>
        </w:rPr>
      </w:pPr>
      <w:r>
        <w:rPr>
          <w:rFonts w:ascii="黑体" w:hAnsi="黑体" w:eastAsia="黑体"/>
          <w:sz w:val="30"/>
          <w:szCs w:val="30"/>
        </w:rPr>
        <w:t>项目名称：</w:t>
      </w:r>
      <w:r>
        <w:rPr>
          <w:rFonts w:hint="eastAsia" w:ascii="黑体" w:hAnsi="黑体" w:eastAsia="黑体"/>
          <w:sz w:val="30"/>
          <w:szCs w:val="30"/>
        </w:rPr>
        <w:t>神经母细胞瘤诊疗新策略及应用</w:t>
      </w:r>
    </w:p>
    <w:p w14:paraId="0ADA3C33">
      <w:pPr>
        <w:tabs>
          <w:tab w:val="left" w:pos="4860"/>
        </w:tabs>
        <w:ind w:right="3322"/>
        <w:rPr>
          <w:rFonts w:ascii="Times New Roman" w:hAnsi="Times New Roman" w:eastAsia="仿宋_GB2312"/>
          <w:sz w:val="24"/>
        </w:rPr>
      </w:pPr>
    </w:p>
    <w:p w14:paraId="04A38086">
      <w:pPr>
        <w:jc w:val="center"/>
        <w:rPr>
          <w:rFonts w:ascii="Times New Roman" w:hAnsi="Times New Roman" w:eastAsia="黑体"/>
          <w:sz w:val="28"/>
          <w:szCs w:val="28"/>
        </w:rPr>
      </w:pPr>
      <w:r>
        <w:rPr>
          <w:rFonts w:ascii="Times New Roman" w:hAnsi="Times New Roman" w:eastAsia="黑体"/>
          <w:sz w:val="28"/>
          <w:szCs w:val="28"/>
        </w:rPr>
        <w:t>一、项目基本情况</w:t>
      </w:r>
    </w:p>
    <w:p w14:paraId="440318F9">
      <w:pPr>
        <w:rPr>
          <w:rFonts w:ascii="Times New Roman" w:hAnsi="Times New Roman"/>
          <w:sz w:val="28"/>
          <w:szCs w:val="28"/>
        </w:rPr>
      </w:pPr>
      <w:r>
        <w:rPr>
          <w:rFonts w:ascii="Times New Roman" w:hAnsi="Times New Roman"/>
          <w:sz w:val="24"/>
        </w:rPr>
        <w:t>推荐奖种：医学科学技术奖</w:t>
      </w:r>
    </w:p>
    <w:tbl>
      <w:tblPr>
        <w:tblStyle w:val="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04"/>
        <w:gridCol w:w="3367"/>
        <w:gridCol w:w="705"/>
        <w:gridCol w:w="1234"/>
        <w:gridCol w:w="1445"/>
      </w:tblGrid>
      <w:tr w14:paraId="19E14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188" w:type="pct"/>
            <w:vAlign w:val="center"/>
          </w:tcPr>
          <w:p w14:paraId="13CABEF9">
            <w:pPr>
              <w:snapToGrid w:val="0"/>
              <w:jc w:val="center"/>
              <w:rPr>
                <w:rFonts w:ascii="Times New Roman" w:hAnsi="Times New Roman"/>
                <w:sz w:val="24"/>
              </w:rPr>
            </w:pPr>
            <w:r>
              <w:rPr>
                <w:rFonts w:ascii="Times New Roman" w:hAnsi="Times New Roman"/>
                <w:sz w:val="24"/>
              </w:rPr>
              <w:t>项目名称</w:t>
            </w:r>
          </w:p>
        </w:tc>
        <w:tc>
          <w:tcPr>
            <w:tcW w:w="3812" w:type="pct"/>
            <w:gridSpan w:val="4"/>
            <w:vAlign w:val="center"/>
          </w:tcPr>
          <w:p w14:paraId="62C7DCE6">
            <w:pPr>
              <w:snapToGrid w:val="0"/>
              <w:jc w:val="center"/>
              <w:rPr>
                <w:rFonts w:ascii="Times New Roman" w:hAnsi="Times New Roman"/>
                <w:sz w:val="24"/>
              </w:rPr>
            </w:pPr>
            <w:r>
              <w:rPr>
                <w:rFonts w:hint="eastAsia" w:ascii="Times New Roman" w:hAnsi="Times New Roman"/>
                <w:sz w:val="24"/>
              </w:rPr>
              <w:t>神经母细胞瘤诊疗新策略及应用</w:t>
            </w:r>
          </w:p>
        </w:tc>
      </w:tr>
      <w:tr w14:paraId="044BD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8" w:hRule="atLeast"/>
          <w:jc w:val="center"/>
        </w:trPr>
        <w:tc>
          <w:tcPr>
            <w:tcW w:w="1188" w:type="pct"/>
            <w:vAlign w:val="center"/>
          </w:tcPr>
          <w:p w14:paraId="3A45169C">
            <w:pPr>
              <w:snapToGrid w:val="0"/>
              <w:jc w:val="center"/>
              <w:rPr>
                <w:rFonts w:ascii="Times New Roman" w:hAnsi="Times New Roman"/>
                <w:sz w:val="24"/>
              </w:rPr>
            </w:pPr>
            <w:r>
              <w:rPr>
                <w:rFonts w:ascii="Times New Roman" w:hAnsi="Times New Roman"/>
                <w:sz w:val="24"/>
              </w:rPr>
              <w:t>主要完成人</w:t>
            </w:r>
          </w:p>
        </w:tc>
        <w:tc>
          <w:tcPr>
            <w:tcW w:w="3812" w:type="pct"/>
            <w:gridSpan w:val="4"/>
            <w:vAlign w:val="center"/>
          </w:tcPr>
          <w:p w14:paraId="7C82C582">
            <w:pPr>
              <w:snapToGrid w:val="0"/>
              <w:jc w:val="center"/>
              <w:rPr>
                <w:rFonts w:ascii="Times New Roman" w:hAnsi="Times New Roman"/>
                <w:sz w:val="24"/>
              </w:rPr>
            </w:pPr>
            <w:r>
              <w:rPr>
                <w:rFonts w:hint="eastAsia" w:ascii="Times New Roman" w:hAnsi="Times New Roman"/>
                <w:sz w:val="24"/>
              </w:rPr>
              <w:t>李勇，周文虎，周海燕，贺静，刘赞，黎明，刘登辉，唐湘莲，向强兴，文佳冰，黄召，周宇翔</w:t>
            </w:r>
          </w:p>
        </w:tc>
      </w:tr>
      <w:tr w14:paraId="4485B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1" w:hRule="atLeast"/>
          <w:jc w:val="center"/>
        </w:trPr>
        <w:tc>
          <w:tcPr>
            <w:tcW w:w="1188" w:type="pct"/>
            <w:vAlign w:val="center"/>
          </w:tcPr>
          <w:p w14:paraId="65BD21CD">
            <w:pPr>
              <w:snapToGrid w:val="0"/>
              <w:jc w:val="center"/>
              <w:rPr>
                <w:rFonts w:ascii="Times New Roman" w:hAnsi="Times New Roman"/>
                <w:sz w:val="24"/>
              </w:rPr>
            </w:pPr>
            <w:r>
              <w:rPr>
                <w:rFonts w:ascii="Times New Roman" w:hAnsi="Times New Roman"/>
                <w:sz w:val="24"/>
              </w:rPr>
              <w:t>主要完成单位</w:t>
            </w:r>
          </w:p>
        </w:tc>
        <w:tc>
          <w:tcPr>
            <w:tcW w:w="3812" w:type="pct"/>
            <w:gridSpan w:val="4"/>
            <w:vAlign w:val="center"/>
          </w:tcPr>
          <w:p w14:paraId="66813616">
            <w:pPr>
              <w:snapToGrid w:val="0"/>
              <w:jc w:val="center"/>
              <w:rPr>
                <w:rFonts w:ascii="Times New Roman" w:hAnsi="Times New Roman"/>
                <w:sz w:val="24"/>
              </w:rPr>
            </w:pPr>
            <w:r>
              <w:rPr>
                <w:rFonts w:hint="eastAsia" w:ascii="Times New Roman" w:hAnsi="Times New Roman"/>
                <w:sz w:val="24"/>
              </w:rPr>
              <w:t>湖南省儿童医院，广州医科大学附属妇女儿童医疗中心，中南大学</w:t>
            </w:r>
          </w:p>
        </w:tc>
      </w:tr>
      <w:tr w14:paraId="7E572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188" w:type="pct"/>
            <w:vMerge w:val="restart"/>
            <w:vAlign w:val="center"/>
          </w:tcPr>
          <w:p w14:paraId="11E9C682">
            <w:pPr>
              <w:snapToGrid w:val="0"/>
              <w:jc w:val="center"/>
              <w:rPr>
                <w:rFonts w:ascii="Times New Roman" w:hAnsi="Times New Roman"/>
                <w:sz w:val="24"/>
              </w:rPr>
            </w:pPr>
            <w:r>
              <w:rPr>
                <w:rFonts w:ascii="Times New Roman" w:hAnsi="Times New Roman"/>
                <w:sz w:val="24"/>
              </w:rPr>
              <w:t>推荐单位（盖章）</w:t>
            </w:r>
          </w:p>
        </w:tc>
        <w:tc>
          <w:tcPr>
            <w:tcW w:w="1901" w:type="pct"/>
            <w:vMerge w:val="restart"/>
            <w:vAlign w:val="center"/>
          </w:tcPr>
          <w:p w14:paraId="090D78A2">
            <w:pPr>
              <w:snapToGrid w:val="0"/>
              <w:jc w:val="center"/>
              <w:rPr>
                <w:rFonts w:ascii="Times New Roman" w:hAnsi="Times New Roman"/>
                <w:sz w:val="24"/>
              </w:rPr>
            </w:pPr>
            <w:r>
              <w:rPr>
                <w:rFonts w:hint="eastAsia" w:ascii="Times New Roman" w:hAnsi="Times New Roman"/>
                <w:sz w:val="24"/>
              </w:rPr>
              <w:t>湖南省儿童医院</w:t>
            </w:r>
          </w:p>
        </w:tc>
        <w:tc>
          <w:tcPr>
            <w:tcW w:w="1095" w:type="pct"/>
            <w:gridSpan w:val="2"/>
            <w:vAlign w:val="center"/>
          </w:tcPr>
          <w:p w14:paraId="6773AEB0">
            <w:pPr>
              <w:tabs>
                <w:tab w:val="left" w:pos="1180"/>
              </w:tabs>
              <w:snapToGrid w:val="0"/>
              <w:jc w:val="center"/>
              <w:rPr>
                <w:rFonts w:ascii="Times New Roman" w:hAnsi="Times New Roman"/>
                <w:sz w:val="24"/>
              </w:rPr>
            </w:pPr>
            <w:r>
              <w:rPr>
                <w:rFonts w:ascii="Times New Roman" w:hAnsi="Times New Roman"/>
                <w:sz w:val="24"/>
              </w:rPr>
              <w:t>密   级</w:t>
            </w:r>
          </w:p>
        </w:tc>
        <w:tc>
          <w:tcPr>
            <w:tcW w:w="816" w:type="pct"/>
            <w:vAlign w:val="center"/>
          </w:tcPr>
          <w:p w14:paraId="77CC82FD">
            <w:pPr>
              <w:snapToGrid w:val="0"/>
              <w:jc w:val="center"/>
              <w:rPr>
                <w:rFonts w:ascii="Times New Roman" w:hAnsi="Times New Roman"/>
                <w:sz w:val="24"/>
              </w:rPr>
            </w:pPr>
            <w:r>
              <w:rPr>
                <w:rFonts w:hint="eastAsia" w:ascii="Times New Roman" w:hAnsi="Times New Roman"/>
                <w:sz w:val="24"/>
              </w:rPr>
              <w:t>非密</w:t>
            </w:r>
          </w:p>
        </w:tc>
      </w:tr>
      <w:tr w14:paraId="5CB74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188" w:type="pct"/>
            <w:vMerge w:val="continue"/>
            <w:vAlign w:val="center"/>
          </w:tcPr>
          <w:p w14:paraId="3D731BE1">
            <w:pPr>
              <w:snapToGrid w:val="0"/>
              <w:jc w:val="center"/>
              <w:rPr>
                <w:rFonts w:ascii="Times New Roman" w:hAnsi="Times New Roman"/>
                <w:sz w:val="24"/>
              </w:rPr>
            </w:pPr>
          </w:p>
        </w:tc>
        <w:tc>
          <w:tcPr>
            <w:tcW w:w="1901" w:type="pct"/>
            <w:vMerge w:val="continue"/>
            <w:vAlign w:val="center"/>
          </w:tcPr>
          <w:p w14:paraId="4121451C">
            <w:pPr>
              <w:snapToGrid w:val="0"/>
              <w:jc w:val="center"/>
              <w:rPr>
                <w:rFonts w:ascii="Times New Roman" w:hAnsi="Times New Roman"/>
                <w:sz w:val="24"/>
              </w:rPr>
            </w:pPr>
          </w:p>
        </w:tc>
        <w:tc>
          <w:tcPr>
            <w:tcW w:w="1095" w:type="pct"/>
            <w:gridSpan w:val="2"/>
            <w:vAlign w:val="center"/>
          </w:tcPr>
          <w:p w14:paraId="07A16DF2">
            <w:pPr>
              <w:snapToGrid w:val="0"/>
              <w:jc w:val="center"/>
              <w:rPr>
                <w:rFonts w:ascii="Times New Roman" w:hAnsi="Times New Roman"/>
                <w:sz w:val="24"/>
              </w:rPr>
            </w:pPr>
            <w:r>
              <w:rPr>
                <w:rFonts w:ascii="Times New Roman" w:hAnsi="Times New Roman"/>
                <w:sz w:val="24"/>
              </w:rPr>
              <w:t>可否公布</w:t>
            </w:r>
          </w:p>
        </w:tc>
        <w:tc>
          <w:tcPr>
            <w:tcW w:w="816" w:type="pct"/>
            <w:vAlign w:val="center"/>
          </w:tcPr>
          <w:p w14:paraId="1A87A0EA">
            <w:pPr>
              <w:snapToGrid w:val="0"/>
              <w:jc w:val="center"/>
              <w:rPr>
                <w:rFonts w:ascii="Times New Roman" w:hAnsi="Times New Roman"/>
                <w:sz w:val="24"/>
              </w:rPr>
            </w:pPr>
            <w:r>
              <w:rPr>
                <w:rFonts w:hint="eastAsia" w:ascii="Times New Roman" w:hAnsi="Times New Roman"/>
                <w:sz w:val="24"/>
              </w:rPr>
              <w:t>可</w:t>
            </w:r>
          </w:p>
        </w:tc>
      </w:tr>
      <w:tr w14:paraId="36D47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1188" w:type="pct"/>
            <w:vMerge w:val="restart"/>
            <w:vAlign w:val="center"/>
          </w:tcPr>
          <w:p w14:paraId="4D0A4A23">
            <w:pPr>
              <w:snapToGrid w:val="0"/>
              <w:jc w:val="center"/>
              <w:rPr>
                <w:rFonts w:ascii="Times New Roman" w:hAnsi="Times New Roman"/>
                <w:sz w:val="24"/>
              </w:rPr>
            </w:pPr>
            <w:r>
              <w:rPr>
                <w:rFonts w:ascii="Times New Roman" w:hAnsi="Times New Roman"/>
                <w:sz w:val="24"/>
              </w:rPr>
              <w:t>学科名称</w:t>
            </w:r>
          </w:p>
          <w:p w14:paraId="614650A3">
            <w:pPr>
              <w:snapToGrid w:val="0"/>
              <w:jc w:val="center"/>
              <w:rPr>
                <w:rFonts w:ascii="Times New Roman" w:hAnsi="Times New Roman"/>
                <w:sz w:val="24"/>
              </w:rPr>
            </w:pPr>
            <w:r>
              <w:rPr>
                <w:rFonts w:ascii="Times New Roman" w:hAnsi="Times New Roman"/>
                <w:sz w:val="24"/>
              </w:rPr>
              <w:t>（学科名称及代码）</w:t>
            </w:r>
          </w:p>
        </w:tc>
        <w:tc>
          <w:tcPr>
            <w:tcW w:w="2299" w:type="pct"/>
            <w:gridSpan w:val="2"/>
            <w:vAlign w:val="center"/>
          </w:tcPr>
          <w:p w14:paraId="3AECBF9E">
            <w:pPr>
              <w:snapToGrid w:val="0"/>
              <w:jc w:val="center"/>
              <w:rPr>
                <w:rFonts w:ascii="Times New Roman" w:hAnsi="Times New Roman"/>
                <w:sz w:val="24"/>
              </w:rPr>
            </w:pPr>
            <w:r>
              <w:rPr>
                <w:rFonts w:hint="eastAsia" w:ascii="Times New Roman" w:hAnsi="Times New Roman"/>
                <w:sz w:val="24"/>
              </w:rPr>
              <w:t>小儿外科学</w:t>
            </w:r>
          </w:p>
        </w:tc>
        <w:tc>
          <w:tcPr>
            <w:tcW w:w="697" w:type="pct"/>
            <w:vMerge w:val="restart"/>
            <w:vAlign w:val="center"/>
          </w:tcPr>
          <w:p w14:paraId="1E5E1F71">
            <w:pPr>
              <w:snapToGrid w:val="0"/>
              <w:jc w:val="center"/>
              <w:rPr>
                <w:rFonts w:ascii="Times New Roman" w:hAnsi="Times New Roman"/>
                <w:sz w:val="24"/>
              </w:rPr>
            </w:pPr>
            <w:r>
              <w:rPr>
                <w:rFonts w:ascii="Times New Roman" w:hAnsi="Times New Roman"/>
                <w:sz w:val="24"/>
              </w:rPr>
              <w:t>代  码</w:t>
            </w:r>
          </w:p>
        </w:tc>
        <w:tc>
          <w:tcPr>
            <w:tcW w:w="816" w:type="pct"/>
            <w:vAlign w:val="center"/>
          </w:tcPr>
          <w:p w14:paraId="3AA2CEAC">
            <w:pPr>
              <w:snapToGrid w:val="0"/>
              <w:jc w:val="center"/>
              <w:rPr>
                <w:rFonts w:ascii="Times New Roman" w:hAnsi="Times New Roman"/>
                <w:sz w:val="24"/>
              </w:rPr>
            </w:pPr>
            <w:r>
              <w:rPr>
                <w:rFonts w:ascii="Times New Roman" w:hAnsi="Times New Roman" w:eastAsia="宋体" w:cs="Times New Roman"/>
                <w:sz w:val="24"/>
              </w:rPr>
              <w:t>320.2770</w:t>
            </w:r>
          </w:p>
        </w:tc>
      </w:tr>
      <w:tr w14:paraId="476D4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1188" w:type="pct"/>
            <w:vMerge w:val="continue"/>
            <w:vAlign w:val="center"/>
          </w:tcPr>
          <w:p w14:paraId="32424554">
            <w:pPr>
              <w:snapToGrid w:val="0"/>
              <w:jc w:val="center"/>
              <w:rPr>
                <w:rFonts w:ascii="Times New Roman" w:hAnsi="Times New Roman"/>
                <w:sz w:val="24"/>
              </w:rPr>
            </w:pPr>
          </w:p>
        </w:tc>
        <w:tc>
          <w:tcPr>
            <w:tcW w:w="2299" w:type="pct"/>
            <w:gridSpan w:val="2"/>
            <w:vAlign w:val="center"/>
          </w:tcPr>
          <w:p w14:paraId="7869950C">
            <w:pPr>
              <w:snapToGrid w:val="0"/>
              <w:jc w:val="center"/>
              <w:rPr>
                <w:rFonts w:ascii="Times New Roman" w:hAnsi="Times New Roman"/>
                <w:sz w:val="24"/>
              </w:rPr>
            </w:pPr>
          </w:p>
        </w:tc>
        <w:tc>
          <w:tcPr>
            <w:tcW w:w="697" w:type="pct"/>
            <w:vMerge w:val="continue"/>
            <w:vAlign w:val="center"/>
          </w:tcPr>
          <w:p w14:paraId="34D932C7">
            <w:pPr>
              <w:snapToGrid w:val="0"/>
              <w:jc w:val="center"/>
              <w:rPr>
                <w:rFonts w:ascii="Times New Roman" w:hAnsi="Times New Roman"/>
                <w:sz w:val="24"/>
              </w:rPr>
            </w:pPr>
          </w:p>
        </w:tc>
        <w:tc>
          <w:tcPr>
            <w:tcW w:w="816" w:type="pct"/>
            <w:vAlign w:val="center"/>
          </w:tcPr>
          <w:p w14:paraId="53BADCBE">
            <w:pPr>
              <w:snapToGrid w:val="0"/>
              <w:jc w:val="center"/>
              <w:rPr>
                <w:rFonts w:ascii="Times New Roman" w:hAnsi="Times New Roman"/>
                <w:sz w:val="24"/>
              </w:rPr>
            </w:pPr>
          </w:p>
        </w:tc>
      </w:tr>
      <w:tr w14:paraId="518EF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1188" w:type="pct"/>
            <w:vMerge w:val="continue"/>
            <w:vAlign w:val="center"/>
          </w:tcPr>
          <w:p w14:paraId="47F6B42F">
            <w:pPr>
              <w:snapToGrid w:val="0"/>
              <w:jc w:val="center"/>
              <w:rPr>
                <w:rFonts w:ascii="Times New Roman" w:hAnsi="Times New Roman"/>
                <w:sz w:val="24"/>
              </w:rPr>
            </w:pPr>
          </w:p>
        </w:tc>
        <w:tc>
          <w:tcPr>
            <w:tcW w:w="2299" w:type="pct"/>
            <w:gridSpan w:val="2"/>
            <w:vAlign w:val="center"/>
          </w:tcPr>
          <w:p w14:paraId="5234F899">
            <w:pPr>
              <w:snapToGrid w:val="0"/>
              <w:jc w:val="center"/>
              <w:rPr>
                <w:rFonts w:ascii="Times New Roman" w:hAnsi="Times New Roman"/>
                <w:sz w:val="24"/>
              </w:rPr>
            </w:pPr>
          </w:p>
        </w:tc>
        <w:tc>
          <w:tcPr>
            <w:tcW w:w="697" w:type="pct"/>
            <w:vMerge w:val="continue"/>
            <w:vAlign w:val="center"/>
          </w:tcPr>
          <w:p w14:paraId="3A8C7963">
            <w:pPr>
              <w:snapToGrid w:val="0"/>
              <w:jc w:val="center"/>
              <w:rPr>
                <w:rFonts w:ascii="Times New Roman" w:hAnsi="Times New Roman"/>
                <w:sz w:val="24"/>
              </w:rPr>
            </w:pPr>
          </w:p>
        </w:tc>
        <w:tc>
          <w:tcPr>
            <w:tcW w:w="816" w:type="pct"/>
            <w:vAlign w:val="center"/>
          </w:tcPr>
          <w:p w14:paraId="0D319CE9">
            <w:pPr>
              <w:snapToGrid w:val="0"/>
              <w:jc w:val="center"/>
              <w:rPr>
                <w:rFonts w:ascii="Times New Roman" w:hAnsi="Times New Roman"/>
                <w:sz w:val="24"/>
              </w:rPr>
            </w:pPr>
          </w:p>
        </w:tc>
      </w:tr>
      <w:tr w14:paraId="55BD2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188" w:type="pct"/>
            <w:vAlign w:val="center"/>
          </w:tcPr>
          <w:p w14:paraId="7270EBDC">
            <w:pPr>
              <w:snapToGrid w:val="0"/>
              <w:jc w:val="center"/>
              <w:rPr>
                <w:rFonts w:ascii="Times New Roman" w:hAnsi="Times New Roman"/>
                <w:sz w:val="24"/>
              </w:rPr>
            </w:pPr>
            <w:r>
              <w:rPr>
                <w:rFonts w:ascii="Times New Roman" w:hAnsi="Times New Roman"/>
                <w:sz w:val="24"/>
              </w:rPr>
              <w:t>项目起止时间</w:t>
            </w:r>
          </w:p>
        </w:tc>
        <w:tc>
          <w:tcPr>
            <w:tcW w:w="3812" w:type="pct"/>
            <w:gridSpan w:val="4"/>
            <w:vAlign w:val="center"/>
          </w:tcPr>
          <w:p w14:paraId="4E2A503E">
            <w:pPr>
              <w:snapToGrid w:val="0"/>
              <w:jc w:val="center"/>
              <w:rPr>
                <w:rFonts w:ascii="Times New Roman" w:hAnsi="Times New Roman"/>
                <w:sz w:val="24"/>
              </w:rPr>
            </w:pPr>
            <w:r>
              <w:rPr>
                <w:rFonts w:hint="eastAsia" w:ascii="Times New Roman" w:hAnsi="Times New Roman"/>
                <w:sz w:val="24"/>
              </w:rPr>
              <w:t>2018</w:t>
            </w:r>
            <w:r>
              <w:rPr>
                <w:rFonts w:ascii="Times New Roman" w:hAnsi="Times New Roman"/>
                <w:sz w:val="24"/>
              </w:rPr>
              <w:t xml:space="preserve">年  </w:t>
            </w:r>
            <w:r>
              <w:rPr>
                <w:rFonts w:hint="eastAsia" w:ascii="Times New Roman" w:hAnsi="Times New Roman"/>
                <w:sz w:val="24"/>
              </w:rPr>
              <w:t>1</w:t>
            </w:r>
            <w:r>
              <w:rPr>
                <w:rFonts w:ascii="Times New Roman" w:hAnsi="Times New Roman"/>
                <w:sz w:val="24"/>
              </w:rPr>
              <w:t xml:space="preserve">  月  </w:t>
            </w:r>
            <w:r>
              <w:rPr>
                <w:rFonts w:hint="eastAsia" w:ascii="Times New Roman" w:hAnsi="Times New Roman"/>
                <w:sz w:val="24"/>
              </w:rPr>
              <w:t>1</w:t>
            </w:r>
            <w:r>
              <w:rPr>
                <w:rFonts w:ascii="Times New Roman" w:hAnsi="Times New Roman"/>
                <w:sz w:val="24"/>
              </w:rPr>
              <w:t xml:space="preserve">  日 ──  </w:t>
            </w:r>
            <w:r>
              <w:rPr>
                <w:rFonts w:hint="eastAsia" w:ascii="Times New Roman" w:hAnsi="Times New Roman"/>
                <w:sz w:val="24"/>
              </w:rPr>
              <w:t>2024</w:t>
            </w:r>
            <w:r>
              <w:rPr>
                <w:rFonts w:ascii="Times New Roman" w:hAnsi="Times New Roman"/>
                <w:sz w:val="24"/>
              </w:rPr>
              <w:t xml:space="preserve">年 </w:t>
            </w:r>
            <w:r>
              <w:rPr>
                <w:rFonts w:hint="eastAsia" w:ascii="Times New Roman" w:hAnsi="Times New Roman"/>
                <w:sz w:val="24"/>
              </w:rPr>
              <w:t>12</w:t>
            </w:r>
            <w:r>
              <w:rPr>
                <w:rFonts w:ascii="Times New Roman" w:hAnsi="Times New Roman"/>
                <w:sz w:val="24"/>
              </w:rPr>
              <w:t xml:space="preserve"> 月 </w:t>
            </w:r>
            <w:r>
              <w:rPr>
                <w:rFonts w:hint="eastAsia" w:ascii="Times New Roman" w:hAnsi="Times New Roman"/>
                <w:sz w:val="24"/>
              </w:rPr>
              <w:t>31</w:t>
            </w:r>
            <w:r>
              <w:rPr>
                <w:rFonts w:ascii="Times New Roman" w:hAnsi="Times New Roman"/>
                <w:sz w:val="24"/>
              </w:rPr>
              <w:t xml:space="preserve"> 日</w:t>
            </w:r>
          </w:p>
        </w:tc>
      </w:tr>
    </w:tbl>
    <w:p w14:paraId="563F1FBB">
      <w:pPr>
        <w:jc w:val="center"/>
        <w:rPr>
          <w:rFonts w:ascii="Times New Roman" w:hAnsi="Times New Roman" w:eastAsia="黑体"/>
          <w:kern w:val="24"/>
          <w:sz w:val="28"/>
          <w:szCs w:val="28"/>
        </w:rPr>
      </w:pPr>
      <w:r>
        <w:rPr>
          <w:rFonts w:hint="eastAsia" w:ascii="Times New Roman" w:hAnsi="Times New Roman" w:eastAsia="黑体"/>
          <w:kern w:val="24"/>
          <w:sz w:val="28"/>
          <w:szCs w:val="28"/>
        </w:rPr>
        <w:t>二、推荐单位</w:t>
      </w:r>
    </w:p>
    <w:p w14:paraId="794B032D">
      <w:pPr>
        <w:jc w:val="center"/>
        <w:rPr>
          <w:rFonts w:ascii="Times New Roman" w:hAnsi="Times New Roman" w:eastAsia="黑体"/>
          <w:kern w:val="24"/>
          <w:sz w:val="28"/>
          <w:szCs w:val="28"/>
        </w:rPr>
      </w:pPr>
      <w:r>
        <w:rPr>
          <w:rFonts w:hint="eastAsia" w:ascii="Times New Roman" w:hAnsi="Times New Roman" w:eastAsia="黑体"/>
          <w:kern w:val="24"/>
          <w:sz w:val="28"/>
          <w:szCs w:val="28"/>
        </w:rPr>
        <w:t>湖南省儿童医院</w:t>
      </w:r>
    </w:p>
    <w:p w14:paraId="52ADDB61">
      <w:pPr>
        <w:jc w:val="center"/>
        <w:rPr>
          <w:rFonts w:ascii="Times New Roman" w:hAnsi="Times New Roman" w:eastAsia="黑体"/>
          <w:kern w:val="24"/>
          <w:sz w:val="28"/>
          <w:szCs w:val="28"/>
        </w:rPr>
      </w:pPr>
    </w:p>
    <w:p w14:paraId="500D30E3">
      <w:pPr>
        <w:jc w:val="center"/>
        <w:rPr>
          <w:rFonts w:ascii="Times New Roman" w:hAnsi="Times New Roman" w:eastAsia="黑体"/>
          <w:kern w:val="24"/>
          <w:sz w:val="28"/>
          <w:szCs w:val="28"/>
        </w:rPr>
      </w:pPr>
      <w:r>
        <w:rPr>
          <w:rFonts w:hint="eastAsia" w:ascii="Times New Roman" w:hAnsi="Times New Roman" w:eastAsia="黑体"/>
          <w:kern w:val="24"/>
          <w:sz w:val="28"/>
          <w:szCs w:val="28"/>
        </w:rPr>
        <w:t>三、推荐单位意见</w:t>
      </w:r>
    </w:p>
    <w:p w14:paraId="218F5CA5">
      <w:pPr>
        <w:snapToGrid w:val="0"/>
        <w:spacing w:line="360" w:lineRule="auto"/>
        <w:ind w:right="-20" w:firstLine="480" w:firstLineChars="200"/>
        <w:rPr>
          <w:rFonts w:ascii="Times New Roman" w:hAnsi="Times New Roman" w:cs="Times New Roman"/>
          <w:position w:val="-4"/>
          <w:sz w:val="24"/>
        </w:rPr>
      </w:pPr>
      <w:r>
        <w:rPr>
          <w:rFonts w:ascii="Times New Roman" w:hAnsi="Times New Roman" w:cs="Times New Roman"/>
          <w:position w:val="-4"/>
          <w:sz w:val="24"/>
        </w:rPr>
        <w:t>我单位已严格审核《神经母细胞瘤诊疗新策略及应用》项目全部申报材料，确认研究内容真实完整、科研数据客观可靠，现同意推荐该项目申报。</w:t>
      </w:r>
    </w:p>
    <w:p w14:paraId="7B52E9C1">
      <w:pPr>
        <w:snapToGrid w:val="0"/>
        <w:spacing w:line="360" w:lineRule="auto"/>
        <w:ind w:right="-20" w:firstLine="480" w:firstLineChars="200"/>
        <w:rPr>
          <w:rFonts w:ascii="Times New Roman" w:hAnsi="Times New Roman" w:cs="Times New Roman"/>
          <w:position w:val="-4"/>
          <w:sz w:val="24"/>
        </w:rPr>
      </w:pPr>
      <w:r>
        <w:rPr>
          <w:rFonts w:ascii="Times New Roman" w:hAnsi="Times New Roman" w:cs="Times New Roman"/>
          <w:position w:val="-4"/>
          <w:sz w:val="24"/>
        </w:rPr>
        <w:t>神经母细胞瘤长期存在“难预测、难手术、难治疗”的临床瓶颈，严重威胁儿童生命健康，是儿科肿瘤领域的重大刚需。该项目直面临床痛点开展系统性攻关：成功发现4组覆盖风险预测、预后判定、化疗选药的新型分子标志物，填补了该疾病无精准标志物的研究空白；研发2项手术与化疗核心新技术，破解了原发灶手术难度高、传统化疗效果有限的难题；制备3种靶向肿瘤微环境、逆转耐药的锰基纳米材料，为复发难治性病例提供了全新治疗路径，最终构建形成神经母细胞瘤新型精准诊疗体系。</w:t>
      </w:r>
    </w:p>
    <w:p w14:paraId="79924908">
      <w:pPr>
        <w:spacing w:line="360" w:lineRule="auto"/>
        <w:rPr>
          <w:rFonts w:ascii="Times New Roman" w:hAnsi="Times New Roman" w:cs="Times New Roman"/>
          <w:kern w:val="24"/>
          <w:sz w:val="24"/>
        </w:rPr>
      </w:pPr>
      <w:r>
        <w:rPr>
          <w:rFonts w:ascii="Times New Roman" w:hAnsi="Times New Roman" w:cs="Times New Roman"/>
          <w:position w:val="-4"/>
          <w:sz w:val="24"/>
        </w:rPr>
        <w:t>目前成果已在国内多家医疗机构推广应用，不仅推动我国神经母细胞瘤诊疗水平均质化提升，更切实减轻患儿家庭负担，兼具突出的学术价值与社会效益。该项目原创性强、临床转化成效显著，达到国内领先水平，特予推荐。</w:t>
      </w:r>
    </w:p>
    <w:p w14:paraId="25640D87">
      <w:pPr>
        <w:spacing w:line="360" w:lineRule="auto"/>
        <w:jc w:val="center"/>
        <w:rPr>
          <w:rFonts w:ascii="Times New Roman" w:hAnsi="Times New Roman" w:cs="Times New Roman"/>
          <w:kern w:val="24"/>
          <w:sz w:val="24"/>
        </w:rPr>
      </w:pPr>
    </w:p>
    <w:p w14:paraId="3E23BDEC">
      <w:pPr>
        <w:jc w:val="center"/>
        <w:rPr>
          <w:rFonts w:ascii="Times New Roman" w:hAnsi="Times New Roman" w:eastAsia="黑体"/>
          <w:kern w:val="24"/>
          <w:sz w:val="28"/>
          <w:szCs w:val="28"/>
        </w:rPr>
      </w:pPr>
    </w:p>
    <w:p w14:paraId="3B0EE052">
      <w:pPr>
        <w:jc w:val="center"/>
        <w:rPr>
          <w:rFonts w:ascii="Times New Roman" w:hAnsi="Times New Roman" w:eastAsia="黑体"/>
          <w:kern w:val="24"/>
          <w:sz w:val="28"/>
          <w:szCs w:val="28"/>
        </w:rPr>
      </w:pPr>
    </w:p>
    <w:p w14:paraId="4354B1C1">
      <w:pPr>
        <w:jc w:val="center"/>
        <w:rPr>
          <w:rFonts w:ascii="Times New Roman" w:hAnsi="Times New Roman" w:eastAsia="黑体"/>
          <w:kern w:val="24"/>
          <w:sz w:val="28"/>
          <w:szCs w:val="28"/>
        </w:rPr>
      </w:pPr>
    </w:p>
    <w:p w14:paraId="6790D05B">
      <w:pPr>
        <w:jc w:val="center"/>
        <w:rPr>
          <w:rFonts w:ascii="Times New Roman" w:hAnsi="Times New Roman" w:eastAsia="黑体"/>
          <w:kern w:val="24"/>
          <w:sz w:val="28"/>
          <w:szCs w:val="28"/>
        </w:rPr>
      </w:pPr>
    </w:p>
    <w:p w14:paraId="59A586DA">
      <w:pPr>
        <w:jc w:val="center"/>
        <w:rPr>
          <w:rFonts w:ascii="Times New Roman" w:hAnsi="Times New Roman" w:eastAsia="黑体"/>
          <w:kern w:val="24"/>
          <w:sz w:val="28"/>
          <w:szCs w:val="28"/>
        </w:rPr>
      </w:pPr>
    </w:p>
    <w:p w14:paraId="6A676448">
      <w:pPr>
        <w:rPr>
          <w:rFonts w:ascii="Times New Roman" w:hAnsi="Times New Roman" w:eastAsia="黑体"/>
          <w:kern w:val="24"/>
          <w:sz w:val="28"/>
          <w:szCs w:val="28"/>
        </w:rPr>
      </w:pPr>
    </w:p>
    <w:p w14:paraId="3E7864D7">
      <w:pPr>
        <w:jc w:val="center"/>
        <w:rPr>
          <w:rFonts w:ascii="Times New Roman" w:hAnsi="Times New Roman" w:eastAsia="黑体"/>
          <w:kern w:val="24"/>
          <w:sz w:val="28"/>
          <w:szCs w:val="28"/>
        </w:rPr>
      </w:pPr>
    </w:p>
    <w:p w14:paraId="2ED22431">
      <w:pPr>
        <w:jc w:val="center"/>
        <w:rPr>
          <w:rFonts w:ascii="Times New Roman" w:hAnsi="Times New Roman" w:eastAsia="黑体"/>
          <w:kern w:val="24"/>
          <w:sz w:val="28"/>
          <w:szCs w:val="28"/>
        </w:rPr>
      </w:pPr>
      <w:r>
        <w:rPr>
          <w:rFonts w:ascii="Times New Roman" w:hAnsi="Times New Roman" w:eastAsia="黑体"/>
          <w:kern w:val="24"/>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62560" cy="162560"/>
                <wp:effectExtent l="0" t="0" r="0" b="0"/>
                <wp:wrapSquare wrapText="bothSides"/>
                <wp:docPr id="1" name="任意多边形 1"/>
                <wp:cNvGraphicFramePr/>
                <a:graphic xmlns:a="http://schemas.openxmlformats.org/drawingml/2006/main">
                  <a:graphicData uri="http://schemas.microsoft.com/office/word/2010/wordprocessingShape">
                    <wps:wsp>
                      <wps:cNvSpPr/>
                      <wps:spPr>
                        <a:xfrm>
                          <a:off x="0" y="0"/>
                          <a:ext cx="162560" cy="162560"/>
                        </a:xfrm>
                        <a:custGeom>
                          <a:avLst/>
                          <a:gdLst>
                            <a:gd name="A1" fmla="val 0"/>
                            <a:gd name="A2" fmla="val 0"/>
                          </a:gdLst>
                          <a:ahLst/>
                          <a:cxnLst/>
                          <a:rect l="0" t="0" r="0" b="0"/>
                          <a:pathLst/>
                        </a:custGeom>
                        <a:noFill/>
                        <a:ln>
                          <a:noFill/>
                        </a:ln>
                      </wps:spPr>
                      <wps:bodyPr upright="1"/>
                    </wps:wsp>
                  </a:graphicData>
                </a:graphic>
              </wp:anchor>
            </w:drawing>
          </mc:Choice>
          <mc:Fallback>
            <w:pict>
              <v:shape id="_x0000_s1026" o:spid="_x0000_s1026" o:spt="100" style="position:absolute;left:0pt;margin-left:0pt;margin-top:0pt;height:12.8pt;width:12.8pt;mso-wrap-distance-bottom:0pt;mso-wrap-distance-left:9pt;mso-wrap-distance-right:9pt;mso-wrap-distance-top:0pt;z-index:251660288;mso-width-relative:page;mso-height-relative:page;" filled="f" stroked="f" coordsize="162560,162560" o:gfxdata="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BT2KC1AAAAAMBAAAPAAAAAAAAAAEAIAAAACIAAABkcnMv&#10;ZG93bnJldi54bWxQSwECFAAUAAAACACHTuJAbBb+gc4BAADDAwAADgAAAAAAAAABACAAAAAjAQAA&#10;ZHJzL2Uyb0RvYy54bWxQSwUGAAAAAAYABgBZAQAAYwUAAAAA&#10;">
                <v:fill on="f" focussize="0,0"/>
                <v:stroke on="f"/>
                <v:imagedata o:title=""/>
                <o:lock v:ext="edit" aspectratio="f"/>
                <w10:wrap type="square"/>
              </v:shape>
            </w:pict>
          </mc:Fallback>
        </mc:AlternateContent>
      </w:r>
      <w:r>
        <w:rPr>
          <w:rFonts w:hint="eastAsia" w:ascii="Times New Roman" w:hAnsi="Times New Roman" w:eastAsia="黑体"/>
          <w:kern w:val="24"/>
          <w:sz w:val="28"/>
          <w:szCs w:val="28"/>
        </w:rPr>
        <w:t>四</w:t>
      </w:r>
      <w:r>
        <w:rPr>
          <w:rFonts w:ascii="Times New Roman" w:hAnsi="Times New Roman" w:eastAsia="黑体"/>
          <w:kern w:val="24"/>
          <w:sz w:val="28"/>
          <w:szCs w:val="28"/>
        </w:rPr>
        <w:t>、项目简介</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E19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9" w:hRule="atLeast"/>
          <w:jc w:val="center"/>
        </w:trPr>
        <w:tc>
          <w:tcPr>
            <w:tcW w:w="5000" w:type="pct"/>
          </w:tcPr>
          <w:p w14:paraId="5CAFA034">
            <w:pPr>
              <w:spacing w:line="341" w:lineRule="exact"/>
              <w:ind w:right="-20"/>
              <w:rPr>
                <w:rFonts w:ascii="Times New Roman" w:hAnsi="Times New Roman"/>
                <w:kern w:val="21"/>
                <w:sz w:val="24"/>
              </w:rPr>
            </w:pPr>
          </w:p>
          <w:p w14:paraId="5E5A884F">
            <w:pPr>
              <w:spacing w:line="320" w:lineRule="exact"/>
              <w:ind w:firstLine="360" w:firstLineChars="150"/>
              <w:rPr>
                <w:rFonts w:ascii="Times New Roman" w:hAnsi="Times New Roman"/>
                <w:kern w:val="21"/>
                <w:sz w:val="24"/>
              </w:rPr>
            </w:pPr>
            <w:r>
              <w:rPr>
                <w:rFonts w:ascii="Times New Roman" w:hAnsi="Times New Roman"/>
                <w:kern w:val="21"/>
                <w:sz w:val="24"/>
              </w:rPr>
              <w:t>（简练，有数据有结果。800-1200字。）</w:t>
            </w:r>
          </w:p>
          <w:p w14:paraId="1D823B44">
            <w:pPr>
              <w:spacing w:line="320" w:lineRule="exact"/>
              <w:ind w:right="-20" w:firstLine="360" w:firstLineChars="150"/>
              <w:rPr>
                <w:rFonts w:ascii="Times New Roman" w:hAnsi="Times New Roman"/>
                <w:kern w:val="21"/>
                <w:sz w:val="24"/>
              </w:rPr>
            </w:pPr>
          </w:p>
          <w:p w14:paraId="0CF1542C">
            <w:pPr>
              <w:spacing w:line="320" w:lineRule="exact"/>
              <w:ind w:right="-20" w:firstLine="360" w:firstLineChars="150"/>
              <w:rPr>
                <w:rFonts w:hint="eastAsia" w:ascii="黑体" w:hAnsi="黑体" w:eastAsia="黑体"/>
                <w:kern w:val="21"/>
                <w:sz w:val="24"/>
              </w:rPr>
            </w:pPr>
            <w:r>
              <w:rPr>
                <w:rFonts w:ascii="黑体" w:hAnsi="黑体" w:eastAsia="黑体"/>
                <w:kern w:val="21"/>
                <w:sz w:val="24"/>
              </w:rPr>
              <w:t>研究内容（目的、方法、结果）：</w:t>
            </w:r>
          </w:p>
          <w:p w14:paraId="19623EDC">
            <w:pPr>
              <w:spacing w:line="320" w:lineRule="exact"/>
              <w:ind w:right="-20"/>
              <w:rPr>
                <w:rFonts w:ascii="Times New Roman" w:hAnsi="Times New Roman"/>
                <w:b/>
                <w:bCs/>
                <w:kern w:val="21"/>
                <w:sz w:val="24"/>
              </w:rPr>
            </w:pPr>
            <w:r>
              <w:rPr>
                <w:rFonts w:hint="eastAsia" w:ascii="Times New Roman" w:hAnsi="Times New Roman"/>
                <w:b/>
                <w:bCs/>
                <w:kern w:val="21"/>
                <w:sz w:val="24"/>
              </w:rPr>
              <w:t>研究目的</w:t>
            </w:r>
          </w:p>
          <w:p w14:paraId="460171C4">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神经母细胞瘤是最常见的儿童实体瘤之一，临床存在三大核心瓶颈：无特异性标志物精准预测患病风险与判定预后；原发灶解剖隐匿、毗邻结构复杂，手术实施难度高；复发难治性病例缺乏有效治疗手段。本研究旨在从精准诊断、临床治疗、难治病例突破三个维度攻关，构建神经母细胞瘤新型精准诊疗体系，提升患者整体预后。</w:t>
            </w:r>
          </w:p>
          <w:p w14:paraId="1E4C2E87">
            <w:pPr>
              <w:spacing w:line="320" w:lineRule="exact"/>
              <w:ind w:right="-20"/>
              <w:rPr>
                <w:rFonts w:ascii="Times New Roman" w:hAnsi="Times New Roman"/>
                <w:b/>
                <w:bCs/>
                <w:kern w:val="21"/>
                <w:sz w:val="24"/>
              </w:rPr>
            </w:pPr>
            <w:r>
              <w:rPr>
                <w:rFonts w:hint="eastAsia" w:ascii="Times New Roman" w:hAnsi="Times New Roman"/>
                <w:b/>
                <w:bCs/>
                <w:kern w:val="21"/>
                <w:sz w:val="24"/>
              </w:rPr>
              <w:t>研究方法</w:t>
            </w:r>
          </w:p>
          <w:p w14:paraId="170C05F5">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精准标志物研发：通过多中心临床队列基因分型、多组学分析，挖掘表观转录、转录因子、miRNA、染色质重塑相关的非遗传变异类诊疗标志物；</w:t>
            </w:r>
          </w:p>
          <w:p w14:paraId="1B3B7C85">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临床治疗优化：通过临床队列回顾性研究，优化外科手术方案与化疗辅助技术，验证治疗的安全性与有效性；</w:t>
            </w:r>
          </w:p>
          <w:p w14:paraId="78F87362">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新型治疗材料研发：基于纳米医学技术，设计合成多功能锰基纳米材料，开展肿瘤靶向、耐药逆转、免疫激活的功能与疗效验证。</w:t>
            </w:r>
          </w:p>
          <w:p w14:paraId="547AB8E7">
            <w:pPr>
              <w:spacing w:line="320" w:lineRule="exact"/>
              <w:ind w:right="-20"/>
              <w:rPr>
                <w:rFonts w:ascii="Times New Roman" w:hAnsi="Times New Roman"/>
                <w:b/>
                <w:bCs/>
                <w:kern w:val="21"/>
                <w:sz w:val="24"/>
              </w:rPr>
            </w:pPr>
            <w:r>
              <w:rPr>
                <w:rFonts w:hint="eastAsia" w:ascii="Times New Roman" w:hAnsi="Times New Roman"/>
                <w:b/>
                <w:bCs/>
                <w:kern w:val="21"/>
                <w:sz w:val="24"/>
              </w:rPr>
              <w:t>研究结果</w:t>
            </w:r>
          </w:p>
          <w:p w14:paraId="43388807">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成功构建4组新型诊疗标志物体系：国际首次建立m1A修饰酶基因多态性神经母细胞瘤风险预测模型；建立转录因子相关预后判定模型；明确miR-125a、miR-338的抑瘤作用；筛选发现SMARCA4/ALYREF为预后标志物，同时发现莫司他替尼、克拉屈滨为敏感靶向药物，明确该疾病非遗传变异标志物临床检测的价值。</w:t>
            </w:r>
          </w:p>
          <w:p w14:paraId="4FE3B327">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确立新辅助化疗联合血管骨骼化的手术新方案，肿瘤完整切除率达 95%以上，无重大血管损伤；国内率先应用腔内心电图定位输液港植入技术，置管到位率提升至93.7%，显著缩短置管时间、避免辐射损伤。</w:t>
            </w:r>
          </w:p>
          <w:p w14:paraId="592DCA25">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国际率先研发3种锰基纳米材料，分别实现光动力增敏逆转多重耐药、STING 通路激活强化免疫治疗、DNA功能化多模态协同抗肿瘤，均验证了优异的抑瘤活性与生物相容性，为难治性病例提供了全新治疗路径。</w:t>
            </w:r>
          </w:p>
          <w:p w14:paraId="723A8A66">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目前成果已在国内多家医疗机构推广，显著改善患者临床预后。</w:t>
            </w:r>
          </w:p>
          <w:p w14:paraId="37431F2E">
            <w:pPr>
              <w:spacing w:line="320" w:lineRule="exact"/>
              <w:ind w:right="-20" w:firstLine="360" w:firstLineChars="150"/>
              <w:rPr>
                <w:rFonts w:ascii="Times New Roman" w:hAnsi="Times New Roman"/>
                <w:kern w:val="21"/>
                <w:sz w:val="24"/>
              </w:rPr>
            </w:pPr>
          </w:p>
          <w:p w14:paraId="113EA403">
            <w:pPr>
              <w:spacing w:line="320" w:lineRule="exact"/>
              <w:ind w:right="-20" w:firstLine="360" w:firstLineChars="150"/>
              <w:rPr>
                <w:rFonts w:hint="eastAsia" w:ascii="黑体" w:hAnsi="黑体" w:eastAsia="黑体"/>
                <w:kern w:val="21"/>
                <w:sz w:val="24"/>
              </w:rPr>
            </w:pPr>
            <w:r>
              <w:rPr>
                <w:rFonts w:ascii="黑体" w:hAnsi="黑体" w:eastAsia="黑体"/>
                <w:kern w:val="21"/>
                <w:sz w:val="24"/>
              </w:rPr>
              <w:t>科学创新点：</w:t>
            </w:r>
          </w:p>
          <w:p w14:paraId="2E9B81DA">
            <w:pPr>
              <w:pStyle w:val="9"/>
              <w:numPr>
                <w:ilvl w:val="0"/>
                <w:numId w:val="1"/>
              </w:numPr>
              <w:spacing w:line="320" w:lineRule="exact"/>
              <w:ind w:right="-20" w:hanging="768" w:firstLineChars="0"/>
              <w:rPr>
                <w:rFonts w:ascii="Times New Roman" w:hAnsi="Times New Roman"/>
                <w:kern w:val="21"/>
                <w:sz w:val="24"/>
              </w:rPr>
            </w:pPr>
            <w:r>
              <w:rPr>
                <w:rFonts w:hint="eastAsia" w:ascii="Times New Roman" w:hAnsi="Times New Roman"/>
                <w:kern w:val="21"/>
                <w:sz w:val="24"/>
              </w:rPr>
              <w:t>创建基于非遗传变异标志物判定神经母细胞瘤患病风险及预后的新技术；</w:t>
            </w:r>
          </w:p>
          <w:p w14:paraId="194F99DE">
            <w:pPr>
              <w:pStyle w:val="9"/>
              <w:numPr>
                <w:ilvl w:val="0"/>
                <w:numId w:val="1"/>
              </w:numPr>
              <w:spacing w:line="320" w:lineRule="exact"/>
              <w:ind w:right="-20" w:hanging="768" w:firstLineChars="0"/>
              <w:rPr>
                <w:rFonts w:ascii="Times New Roman" w:hAnsi="Times New Roman"/>
                <w:kern w:val="21"/>
                <w:sz w:val="24"/>
              </w:rPr>
            </w:pPr>
            <w:bookmarkStart w:id="0" w:name="OLE_LINK3"/>
            <w:r>
              <w:rPr>
                <w:rFonts w:hint="eastAsia" w:ascii="Times New Roman" w:hAnsi="Times New Roman"/>
                <w:kern w:val="21"/>
                <w:sz w:val="24"/>
              </w:rPr>
              <w:t>建立更安全、有效的神经母细胞瘤综合治疗方案；</w:t>
            </w:r>
          </w:p>
          <w:bookmarkEnd w:id="0"/>
          <w:p w14:paraId="75E4E03C">
            <w:pPr>
              <w:pStyle w:val="9"/>
              <w:numPr>
                <w:ilvl w:val="0"/>
                <w:numId w:val="1"/>
              </w:numPr>
              <w:spacing w:line="320" w:lineRule="exact"/>
              <w:ind w:right="-20" w:hanging="768" w:firstLineChars="0"/>
              <w:rPr>
                <w:rFonts w:ascii="Times New Roman" w:hAnsi="Times New Roman"/>
                <w:kern w:val="21"/>
                <w:sz w:val="24"/>
              </w:rPr>
            </w:pPr>
            <w:r>
              <w:rPr>
                <w:rFonts w:hint="eastAsia" w:ascii="Times New Roman" w:hAnsi="Times New Roman"/>
                <w:kern w:val="21"/>
                <w:sz w:val="24"/>
              </w:rPr>
              <w:t>国际上率先使用锰基纳米材料用于神经母细胞瘤耐药和免疫治疗。</w:t>
            </w:r>
          </w:p>
          <w:p w14:paraId="79219B0C">
            <w:pPr>
              <w:spacing w:line="320" w:lineRule="exact"/>
              <w:ind w:right="-20" w:firstLine="360" w:firstLineChars="150"/>
              <w:rPr>
                <w:rFonts w:ascii="Times New Roman" w:hAnsi="Times New Roman"/>
                <w:kern w:val="21"/>
                <w:sz w:val="24"/>
              </w:rPr>
            </w:pPr>
          </w:p>
          <w:p w14:paraId="07F98D95">
            <w:pPr>
              <w:spacing w:line="320" w:lineRule="exact"/>
              <w:ind w:right="-20" w:firstLine="360" w:firstLineChars="150"/>
              <w:rPr>
                <w:rFonts w:hint="eastAsia" w:ascii="黑体" w:hAnsi="黑体" w:eastAsia="黑体"/>
                <w:kern w:val="21"/>
                <w:sz w:val="24"/>
              </w:rPr>
            </w:pPr>
            <w:r>
              <w:rPr>
                <w:rFonts w:ascii="黑体" w:hAnsi="黑体" w:eastAsia="黑体"/>
                <w:kern w:val="21"/>
                <w:sz w:val="24"/>
              </w:rPr>
              <w:t>科学价值：</w:t>
            </w:r>
          </w:p>
          <w:p w14:paraId="4C31CA5B">
            <w:pPr>
              <w:pStyle w:val="9"/>
              <w:numPr>
                <w:ilvl w:val="0"/>
                <w:numId w:val="2"/>
              </w:numPr>
              <w:spacing w:line="320" w:lineRule="exact"/>
              <w:ind w:right="-20" w:firstLineChars="0"/>
              <w:rPr>
                <w:rFonts w:ascii="Times New Roman" w:hAnsi="Times New Roman"/>
                <w:b/>
                <w:bCs/>
                <w:kern w:val="21"/>
                <w:sz w:val="24"/>
              </w:rPr>
            </w:pPr>
            <w:r>
              <w:rPr>
                <w:rFonts w:hint="eastAsia" w:ascii="Times New Roman" w:hAnsi="Times New Roman"/>
                <w:b/>
                <w:bCs/>
                <w:kern w:val="21"/>
                <w:sz w:val="24"/>
              </w:rPr>
              <w:t>神经母细胞瘤精准诊疗的分子基础突破</w:t>
            </w:r>
          </w:p>
          <w:p w14:paraId="7CDF6F78">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为神经母细胞瘤从“经验性治疗”向“分子导向的精准治疗”转变提供了核心理论依据，丰富了神经母细胞瘤的分子诊疗体系。</w:t>
            </w:r>
          </w:p>
          <w:p w14:paraId="5A609740">
            <w:pPr>
              <w:pStyle w:val="9"/>
              <w:numPr>
                <w:ilvl w:val="0"/>
                <w:numId w:val="2"/>
              </w:numPr>
              <w:spacing w:line="320" w:lineRule="exact"/>
              <w:ind w:right="-20" w:firstLineChars="0"/>
              <w:rPr>
                <w:rFonts w:ascii="Times New Roman" w:hAnsi="Times New Roman"/>
                <w:b/>
                <w:bCs/>
                <w:kern w:val="21"/>
                <w:sz w:val="24"/>
              </w:rPr>
            </w:pPr>
            <w:r>
              <w:rPr>
                <w:rFonts w:hint="eastAsia" w:ascii="Times New Roman" w:hAnsi="Times New Roman"/>
                <w:b/>
                <w:bCs/>
                <w:kern w:val="21"/>
                <w:sz w:val="24"/>
              </w:rPr>
              <w:t>破解外科与化疗的临床瓶颈</w:t>
            </w:r>
          </w:p>
          <w:p w14:paraId="4D3C98B3">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优化了该疾病的临床治疗路径，为神经母细胞瘤的临床治疗技术升级提供了可复制的实践范式。</w:t>
            </w:r>
          </w:p>
          <w:p w14:paraId="650096D4">
            <w:pPr>
              <w:pStyle w:val="9"/>
              <w:numPr>
                <w:ilvl w:val="0"/>
                <w:numId w:val="2"/>
              </w:numPr>
              <w:spacing w:line="320" w:lineRule="exact"/>
              <w:ind w:right="-20" w:firstLineChars="0"/>
              <w:rPr>
                <w:rFonts w:ascii="Times New Roman" w:hAnsi="Times New Roman"/>
                <w:b/>
                <w:bCs/>
                <w:kern w:val="21"/>
                <w:sz w:val="24"/>
              </w:rPr>
            </w:pPr>
            <w:r>
              <w:rPr>
                <w:rFonts w:hint="eastAsia" w:ascii="Times New Roman" w:hAnsi="Times New Roman"/>
                <w:b/>
                <w:bCs/>
                <w:kern w:val="21"/>
                <w:sz w:val="24"/>
              </w:rPr>
              <w:t>开拓纳米医学在神经母细胞瘤的应用新方向</w:t>
            </w:r>
          </w:p>
          <w:p w14:paraId="24538C4A">
            <w:pPr>
              <w:spacing w:line="320" w:lineRule="exact"/>
              <w:ind w:right="-20" w:firstLine="480" w:firstLineChars="200"/>
              <w:rPr>
                <w:rFonts w:ascii="Times New Roman" w:hAnsi="Times New Roman"/>
                <w:kern w:val="21"/>
                <w:sz w:val="24"/>
              </w:rPr>
            </w:pPr>
            <w:r>
              <w:rPr>
                <w:rFonts w:hint="eastAsia" w:ascii="Times New Roman" w:hAnsi="Times New Roman"/>
                <w:kern w:val="21"/>
                <w:sz w:val="24"/>
              </w:rPr>
              <w:t>从肿瘤微环境调控与耐药逆转的新角度，为复发难治性神经母细胞瘤提供了新策略，拓展了纳米生物医学在儿童恶性肿瘤中的前沿应用场景。</w:t>
            </w:r>
          </w:p>
          <w:p w14:paraId="48CB77F4">
            <w:pPr>
              <w:spacing w:line="320" w:lineRule="exact"/>
              <w:ind w:right="-20" w:firstLine="360" w:firstLineChars="150"/>
              <w:rPr>
                <w:rFonts w:ascii="Times New Roman" w:hAnsi="Times New Roman"/>
                <w:kern w:val="21"/>
                <w:sz w:val="24"/>
              </w:rPr>
            </w:pPr>
          </w:p>
          <w:p w14:paraId="22B11A68">
            <w:pPr>
              <w:spacing w:line="320" w:lineRule="exact"/>
              <w:ind w:right="-20" w:firstLine="360" w:firstLineChars="150"/>
              <w:rPr>
                <w:rFonts w:hint="eastAsia" w:ascii="黑体" w:hAnsi="黑体" w:eastAsia="黑体"/>
                <w:kern w:val="21"/>
                <w:sz w:val="24"/>
              </w:rPr>
            </w:pPr>
            <w:r>
              <w:rPr>
                <w:rFonts w:ascii="黑体" w:hAnsi="黑体" w:eastAsia="黑体"/>
                <w:kern w:val="21"/>
                <w:sz w:val="24"/>
              </w:rPr>
              <w:t>社会效益：</w:t>
            </w:r>
          </w:p>
          <w:p w14:paraId="1EBCDF87">
            <w:pPr>
              <w:pStyle w:val="9"/>
              <w:numPr>
                <w:ilvl w:val="0"/>
                <w:numId w:val="3"/>
              </w:numPr>
              <w:spacing w:line="320" w:lineRule="exact"/>
              <w:ind w:right="-20" w:firstLineChars="0"/>
              <w:rPr>
                <w:rFonts w:ascii="Times New Roman" w:hAnsi="Times New Roman"/>
                <w:kern w:val="21"/>
                <w:sz w:val="24"/>
              </w:rPr>
            </w:pPr>
            <w:r>
              <w:rPr>
                <w:rFonts w:hint="eastAsia" w:ascii="Times New Roman" w:hAnsi="Times New Roman"/>
                <w:kern w:val="21"/>
                <w:sz w:val="24"/>
              </w:rPr>
              <w:t>守护儿童与家庭民生，减轻社会民生负担</w:t>
            </w:r>
          </w:p>
          <w:p w14:paraId="166061E4">
            <w:pPr>
              <w:pStyle w:val="9"/>
              <w:numPr>
                <w:ilvl w:val="0"/>
                <w:numId w:val="3"/>
              </w:numPr>
              <w:spacing w:line="320" w:lineRule="exact"/>
              <w:ind w:right="-20" w:firstLineChars="0"/>
              <w:rPr>
                <w:rFonts w:ascii="Times New Roman" w:hAnsi="Times New Roman"/>
                <w:kern w:val="21"/>
                <w:sz w:val="24"/>
              </w:rPr>
            </w:pPr>
            <w:r>
              <w:rPr>
                <w:rFonts w:ascii="Times New Roman" w:hAnsi="Times New Roman"/>
                <w:kern w:val="21"/>
                <w:sz w:val="24"/>
              </w:rPr>
              <w:t>提升诊疗均质化水平，优化医疗资源配置</w:t>
            </w:r>
          </w:p>
          <w:p w14:paraId="204817C3">
            <w:pPr>
              <w:pStyle w:val="9"/>
              <w:numPr>
                <w:ilvl w:val="0"/>
                <w:numId w:val="3"/>
              </w:numPr>
              <w:spacing w:line="320" w:lineRule="exact"/>
              <w:ind w:right="-20" w:firstLineChars="0"/>
              <w:rPr>
                <w:rFonts w:ascii="Times New Roman" w:hAnsi="Times New Roman"/>
                <w:kern w:val="21"/>
                <w:sz w:val="24"/>
              </w:rPr>
            </w:pPr>
            <w:r>
              <w:rPr>
                <w:rFonts w:ascii="Times New Roman" w:hAnsi="Times New Roman"/>
                <w:kern w:val="21"/>
                <w:sz w:val="24"/>
              </w:rPr>
              <w:t>带动生物医药产业升级，提升领域国际竞争力</w:t>
            </w:r>
          </w:p>
          <w:p w14:paraId="2206473B">
            <w:pPr>
              <w:pStyle w:val="9"/>
              <w:numPr>
                <w:ilvl w:val="0"/>
                <w:numId w:val="3"/>
              </w:numPr>
              <w:spacing w:line="320" w:lineRule="exact"/>
              <w:ind w:right="-20" w:firstLineChars="0"/>
              <w:rPr>
                <w:rFonts w:ascii="Times New Roman" w:hAnsi="Times New Roman"/>
                <w:kern w:val="21"/>
                <w:sz w:val="24"/>
              </w:rPr>
            </w:pPr>
            <w:r>
              <w:rPr>
                <w:rFonts w:ascii="Times New Roman" w:hAnsi="Times New Roman"/>
                <w:kern w:val="21"/>
                <w:sz w:val="24"/>
              </w:rPr>
              <w:t>支撑健康中国战略，助力社会长远发展</w:t>
            </w:r>
          </w:p>
          <w:p w14:paraId="49F83A20">
            <w:pPr>
              <w:spacing w:line="320" w:lineRule="exact"/>
              <w:ind w:right="-20"/>
              <w:rPr>
                <w:rFonts w:ascii="Times New Roman" w:hAnsi="Times New Roman"/>
                <w:kern w:val="21"/>
                <w:sz w:val="24"/>
              </w:rPr>
            </w:pPr>
          </w:p>
          <w:p w14:paraId="72101E36">
            <w:pPr>
              <w:spacing w:line="320" w:lineRule="exact"/>
              <w:ind w:right="-20" w:firstLine="360" w:firstLineChars="150"/>
              <w:rPr>
                <w:rFonts w:ascii="Times New Roman" w:hAnsi="Times New Roman"/>
                <w:kern w:val="21"/>
                <w:sz w:val="24"/>
              </w:rPr>
            </w:pPr>
            <w:r>
              <w:rPr>
                <w:rFonts w:ascii="黑体" w:hAnsi="黑体" w:eastAsia="黑体"/>
                <w:kern w:val="21"/>
                <w:sz w:val="24"/>
              </w:rPr>
              <w:t>经济效益：</w:t>
            </w:r>
            <w:r>
              <w:rPr>
                <w:rFonts w:hint="eastAsia" w:ascii="Times New Roman" w:hAnsi="Times New Roman"/>
                <w:kern w:val="21"/>
                <w:sz w:val="24"/>
              </w:rPr>
              <w:t>无</w:t>
            </w:r>
          </w:p>
          <w:p w14:paraId="081F516B">
            <w:pPr>
              <w:spacing w:line="320" w:lineRule="exact"/>
              <w:ind w:right="-20" w:firstLine="360" w:firstLineChars="150"/>
              <w:rPr>
                <w:rFonts w:ascii="Times New Roman" w:hAnsi="Times New Roman"/>
                <w:kern w:val="21"/>
                <w:sz w:val="24"/>
              </w:rPr>
            </w:pPr>
          </w:p>
          <w:p w14:paraId="6A28A6E2">
            <w:pPr>
              <w:spacing w:line="320" w:lineRule="exact"/>
              <w:ind w:right="-20" w:firstLine="360" w:firstLineChars="150"/>
              <w:rPr>
                <w:rFonts w:ascii="Times New Roman" w:hAnsi="Times New Roman"/>
                <w:kern w:val="21"/>
                <w:sz w:val="24"/>
              </w:rPr>
            </w:pPr>
          </w:p>
          <w:p w14:paraId="5D02E0E6">
            <w:pPr>
              <w:spacing w:line="320" w:lineRule="exact"/>
              <w:ind w:right="-20" w:firstLine="360" w:firstLineChars="150"/>
              <w:rPr>
                <w:rFonts w:ascii="Times New Roman" w:hAnsi="Times New Roman"/>
                <w:kern w:val="21"/>
                <w:sz w:val="24"/>
              </w:rPr>
            </w:pPr>
          </w:p>
          <w:p w14:paraId="77C651AB">
            <w:pPr>
              <w:spacing w:line="320" w:lineRule="exact"/>
              <w:ind w:right="-20" w:firstLine="360" w:firstLineChars="150"/>
              <w:rPr>
                <w:rFonts w:ascii="Times New Roman" w:hAnsi="Times New Roman"/>
                <w:kern w:val="21"/>
                <w:sz w:val="24"/>
              </w:rPr>
            </w:pPr>
          </w:p>
          <w:p w14:paraId="22F8202B">
            <w:pPr>
              <w:spacing w:line="320" w:lineRule="exact"/>
              <w:ind w:right="-20" w:firstLine="360" w:firstLineChars="150"/>
              <w:rPr>
                <w:rFonts w:ascii="Times New Roman" w:hAnsi="Times New Roman"/>
                <w:kern w:val="21"/>
                <w:sz w:val="24"/>
              </w:rPr>
            </w:pPr>
          </w:p>
          <w:p w14:paraId="4E16AC53">
            <w:pPr>
              <w:spacing w:line="320" w:lineRule="exact"/>
              <w:ind w:right="-20" w:firstLine="360" w:firstLineChars="150"/>
              <w:rPr>
                <w:rFonts w:ascii="Times New Roman" w:hAnsi="Times New Roman"/>
                <w:kern w:val="21"/>
                <w:sz w:val="24"/>
              </w:rPr>
            </w:pPr>
          </w:p>
          <w:p w14:paraId="426D875B">
            <w:pPr>
              <w:spacing w:line="320" w:lineRule="exact"/>
              <w:ind w:right="-20" w:firstLine="360" w:firstLineChars="150"/>
              <w:rPr>
                <w:rFonts w:ascii="Times New Roman" w:hAnsi="Times New Roman"/>
                <w:kern w:val="21"/>
                <w:sz w:val="24"/>
              </w:rPr>
            </w:pPr>
          </w:p>
          <w:p w14:paraId="3A9BBE4B">
            <w:pPr>
              <w:spacing w:line="320" w:lineRule="exact"/>
              <w:ind w:right="-20" w:firstLine="360" w:firstLineChars="150"/>
              <w:rPr>
                <w:rFonts w:ascii="Times New Roman" w:hAnsi="Times New Roman"/>
                <w:kern w:val="21"/>
                <w:sz w:val="24"/>
              </w:rPr>
            </w:pPr>
          </w:p>
          <w:p w14:paraId="4BE2C924">
            <w:pPr>
              <w:spacing w:line="320" w:lineRule="exact"/>
              <w:ind w:right="-20" w:firstLine="360" w:firstLineChars="150"/>
              <w:rPr>
                <w:rFonts w:ascii="Times New Roman" w:hAnsi="Times New Roman"/>
                <w:kern w:val="21"/>
                <w:sz w:val="24"/>
              </w:rPr>
            </w:pPr>
          </w:p>
          <w:p w14:paraId="680F8307">
            <w:pPr>
              <w:spacing w:line="320" w:lineRule="exact"/>
              <w:ind w:right="-20" w:firstLine="360" w:firstLineChars="150"/>
              <w:rPr>
                <w:rFonts w:ascii="Times New Roman" w:hAnsi="Times New Roman"/>
                <w:kern w:val="21"/>
                <w:sz w:val="24"/>
              </w:rPr>
            </w:pPr>
          </w:p>
          <w:p w14:paraId="1A29CD70">
            <w:pPr>
              <w:spacing w:line="320" w:lineRule="exact"/>
              <w:ind w:right="-20" w:firstLine="360" w:firstLineChars="150"/>
              <w:rPr>
                <w:rFonts w:ascii="Times New Roman" w:hAnsi="Times New Roman"/>
                <w:kern w:val="21"/>
                <w:sz w:val="24"/>
              </w:rPr>
            </w:pPr>
          </w:p>
          <w:p w14:paraId="19FB3406">
            <w:pPr>
              <w:spacing w:line="320" w:lineRule="exact"/>
              <w:ind w:right="-20" w:firstLine="360" w:firstLineChars="150"/>
              <w:rPr>
                <w:rFonts w:ascii="Times New Roman" w:hAnsi="Times New Roman"/>
                <w:kern w:val="21"/>
                <w:sz w:val="24"/>
              </w:rPr>
            </w:pPr>
          </w:p>
          <w:p w14:paraId="52512119">
            <w:pPr>
              <w:spacing w:line="320" w:lineRule="exact"/>
              <w:ind w:right="-20" w:firstLine="360" w:firstLineChars="150"/>
              <w:rPr>
                <w:rFonts w:ascii="Times New Roman" w:hAnsi="Times New Roman"/>
                <w:kern w:val="21"/>
                <w:sz w:val="24"/>
              </w:rPr>
            </w:pPr>
          </w:p>
          <w:p w14:paraId="5C2C1920">
            <w:pPr>
              <w:spacing w:line="320" w:lineRule="exact"/>
              <w:ind w:right="-20" w:firstLine="360" w:firstLineChars="150"/>
              <w:rPr>
                <w:rFonts w:ascii="Times New Roman" w:hAnsi="Times New Roman"/>
                <w:kern w:val="21"/>
                <w:sz w:val="24"/>
              </w:rPr>
            </w:pPr>
          </w:p>
          <w:p w14:paraId="72BFA4F4">
            <w:pPr>
              <w:spacing w:line="320" w:lineRule="exact"/>
              <w:ind w:right="-20" w:firstLine="360" w:firstLineChars="150"/>
              <w:rPr>
                <w:rFonts w:ascii="Times New Roman" w:hAnsi="Times New Roman"/>
                <w:kern w:val="21"/>
                <w:sz w:val="24"/>
              </w:rPr>
            </w:pPr>
          </w:p>
          <w:p w14:paraId="54DBE32A">
            <w:pPr>
              <w:spacing w:line="320" w:lineRule="exact"/>
              <w:ind w:right="-20" w:firstLine="360" w:firstLineChars="150"/>
              <w:rPr>
                <w:rFonts w:ascii="Times New Roman" w:hAnsi="Times New Roman"/>
                <w:kern w:val="21"/>
                <w:sz w:val="24"/>
              </w:rPr>
            </w:pPr>
          </w:p>
          <w:p w14:paraId="35C14DFE">
            <w:pPr>
              <w:spacing w:line="320" w:lineRule="exact"/>
              <w:ind w:right="-20" w:firstLine="360" w:firstLineChars="150"/>
              <w:rPr>
                <w:rFonts w:ascii="Times New Roman" w:hAnsi="Times New Roman"/>
                <w:kern w:val="21"/>
                <w:sz w:val="24"/>
              </w:rPr>
            </w:pPr>
          </w:p>
          <w:p w14:paraId="1F79F202">
            <w:pPr>
              <w:spacing w:line="320" w:lineRule="exact"/>
              <w:ind w:right="-20" w:firstLine="360" w:firstLineChars="150"/>
              <w:rPr>
                <w:rFonts w:ascii="Times New Roman" w:hAnsi="Times New Roman"/>
                <w:kern w:val="21"/>
                <w:sz w:val="24"/>
              </w:rPr>
            </w:pPr>
          </w:p>
          <w:p w14:paraId="08B023EF">
            <w:pPr>
              <w:spacing w:line="320" w:lineRule="exact"/>
              <w:ind w:right="-20" w:firstLine="360" w:firstLineChars="150"/>
              <w:rPr>
                <w:rFonts w:ascii="Times New Roman" w:hAnsi="Times New Roman"/>
                <w:kern w:val="21"/>
                <w:sz w:val="24"/>
              </w:rPr>
            </w:pPr>
          </w:p>
          <w:p w14:paraId="2C60C814">
            <w:pPr>
              <w:spacing w:line="320" w:lineRule="exact"/>
              <w:ind w:right="-20" w:firstLine="360" w:firstLineChars="150"/>
              <w:rPr>
                <w:rFonts w:ascii="Times New Roman" w:hAnsi="Times New Roman"/>
                <w:kern w:val="21"/>
                <w:sz w:val="24"/>
              </w:rPr>
            </w:pPr>
          </w:p>
          <w:p w14:paraId="64FE3AF5">
            <w:pPr>
              <w:spacing w:line="320" w:lineRule="exact"/>
              <w:ind w:right="-20" w:firstLine="360" w:firstLineChars="150"/>
              <w:rPr>
                <w:rFonts w:ascii="Times New Roman" w:hAnsi="Times New Roman"/>
                <w:kern w:val="21"/>
                <w:sz w:val="24"/>
              </w:rPr>
            </w:pPr>
          </w:p>
          <w:p w14:paraId="346A9C15">
            <w:pPr>
              <w:spacing w:line="320" w:lineRule="exact"/>
              <w:ind w:right="-20" w:firstLine="360" w:firstLineChars="150"/>
              <w:rPr>
                <w:rFonts w:ascii="Times New Roman" w:hAnsi="Times New Roman"/>
                <w:kern w:val="21"/>
                <w:sz w:val="24"/>
              </w:rPr>
            </w:pPr>
          </w:p>
          <w:p w14:paraId="4C30ED7C">
            <w:pPr>
              <w:spacing w:line="320" w:lineRule="exact"/>
              <w:ind w:right="-20"/>
              <w:rPr>
                <w:rFonts w:ascii="Times New Roman" w:hAnsi="Times New Roman"/>
                <w:kern w:val="21"/>
                <w:sz w:val="24"/>
              </w:rPr>
            </w:pPr>
          </w:p>
        </w:tc>
      </w:tr>
    </w:tbl>
    <w:p w14:paraId="595403A2">
      <w:pPr>
        <w:snapToGrid w:val="0"/>
        <w:spacing w:line="360" w:lineRule="auto"/>
        <w:rPr>
          <w:rFonts w:ascii="Times New Roman" w:hAnsi="Times New Roman"/>
          <w:kern w:val="24"/>
          <w:szCs w:val="21"/>
        </w:rPr>
      </w:pPr>
    </w:p>
    <w:p w14:paraId="2B33D47C">
      <w:pPr>
        <w:jc w:val="center"/>
        <w:rPr>
          <w:rFonts w:ascii="Times New Roman" w:hAnsi="Times New Roman"/>
          <w:sz w:val="28"/>
          <w:szCs w:val="28"/>
        </w:rPr>
      </w:pPr>
      <w:r>
        <w:rPr>
          <w:rFonts w:hint="eastAsia" w:ascii="Times New Roman" w:hAnsi="Times New Roman" w:eastAsia="黑体"/>
          <w:position w:val="-1"/>
          <w:sz w:val="28"/>
          <w:szCs w:val="28"/>
        </w:rPr>
        <w:t>五、</w:t>
      </w:r>
      <w:r>
        <w:rPr>
          <w:rFonts w:ascii="Times New Roman" w:hAnsi="Times New Roman" w:eastAsia="黑体"/>
          <w:position w:val="-1"/>
          <w:sz w:val="28"/>
          <w:szCs w:val="28"/>
        </w:rPr>
        <w:t>代表性论文目录</w:t>
      </w:r>
    </w:p>
    <w:p w14:paraId="3B351678">
      <w:pPr>
        <w:jc w:val="center"/>
        <w:rPr>
          <w:rFonts w:ascii="Times New Roman" w:hAnsi="Times New Roman"/>
          <w:position w:val="-1"/>
          <w:szCs w:val="21"/>
        </w:rPr>
      </w:pPr>
      <w:r>
        <w:rPr>
          <w:rFonts w:ascii="Times New Roman" w:hAnsi="Times New Roman"/>
          <w:position w:val="-1"/>
          <w:szCs w:val="21"/>
        </w:rPr>
        <w:t>（论文发表时间应为202</w:t>
      </w:r>
      <w:r>
        <w:rPr>
          <w:rFonts w:hint="eastAsia" w:ascii="Times New Roman" w:hAnsi="Times New Roman"/>
          <w:position w:val="-1"/>
          <w:szCs w:val="21"/>
        </w:rPr>
        <w:t>6</w:t>
      </w:r>
      <w:r>
        <w:rPr>
          <w:rFonts w:ascii="Times New Roman" w:hAnsi="Times New Roman"/>
          <w:position w:val="-1"/>
          <w:szCs w:val="21"/>
        </w:rPr>
        <w:t>年1月1日前。限12篇）</w:t>
      </w:r>
    </w:p>
    <w:p w14:paraId="6565CAB0">
      <w:pPr>
        <w:jc w:val="center"/>
        <w:rPr>
          <w:rFonts w:ascii="Times New Roman" w:hAnsi="Times New Roman"/>
          <w:position w:val="-1"/>
          <w:szCs w:val="21"/>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
        <w:gridCol w:w="2289"/>
        <w:gridCol w:w="1831"/>
        <w:gridCol w:w="1939"/>
        <w:gridCol w:w="503"/>
        <w:gridCol w:w="679"/>
        <w:gridCol w:w="802"/>
        <w:gridCol w:w="447"/>
        <w:gridCol w:w="295"/>
      </w:tblGrid>
      <w:tr w14:paraId="2B0A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2CFAEA3D">
            <w:pPr>
              <w:ind w:left="-210" w:leftChars="-100" w:right="-210" w:rightChars="-100"/>
              <w:jc w:val="center"/>
              <w:rPr>
                <w:rFonts w:ascii="Times New Roman" w:hAnsi="Times New Roman"/>
                <w:kern w:val="21"/>
                <w:sz w:val="22"/>
                <w:szCs w:val="22"/>
              </w:rPr>
            </w:pPr>
            <w:r>
              <w:rPr>
                <w:rFonts w:ascii="Times New Roman" w:hAnsi="Times New Roman"/>
                <w:kern w:val="21"/>
                <w:sz w:val="22"/>
                <w:szCs w:val="22"/>
              </w:rPr>
              <w:t>序号</w:t>
            </w:r>
          </w:p>
        </w:tc>
        <w:tc>
          <w:tcPr>
            <w:tcW w:w="1298" w:type="pct"/>
            <w:shd w:val="clear" w:color="auto" w:fill="auto"/>
            <w:vAlign w:val="center"/>
          </w:tcPr>
          <w:p w14:paraId="3980566E">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论文名称</w:t>
            </w:r>
          </w:p>
        </w:tc>
        <w:tc>
          <w:tcPr>
            <w:tcW w:w="1045" w:type="pct"/>
            <w:vAlign w:val="center"/>
          </w:tcPr>
          <w:p w14:paraId="00EEC64C">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刊名</w:t>
            </w:r>
          </w:p>
        </w:tc>
        <w:tc>
          <w:tcPr>
            <w:tcW w:w="794" w:type="pct"/>
            <w:vAlign w:val="center"/>
          </w:tcPr>
          <w:p w14:paraId="13A8324B">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年卷（期）页码</w:t>
            </w:r>
          </w:p>
        </w:tc>
        <w:tc>
          <w:tcPr>
            <w:tcW w:w="312" w:type="pct"/>
            <w:shd w:val="clear" w:color="auto" w:fill="auto"/>
            <w:vAlign w:val="center"/>
          </w:tcPr>
          <w:p w14:paraId="737F45F9">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全部</w:t>
            </w:r>
          </w:p>
          <w:p w14:paraId="2FB34454">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作者</w:t>
            </w:r>
          </w:p>
        </w:tc>
        <w:tc>
          <w:tcPr>
            <w:tcW w:w="409" w:type="pct"/>
            <w:shd w:val="clear" w:color="auto" w:fill="auto"/>
            <w:vAlign w:val="center"/>
          </w:tcPr>
          <w:p w14:paraId="4496CC3B">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第一作者</w:t>
            </w:r>
          </w:p>
          <w:p w14:paraId="1D309144">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（含共同）</w:t>
            </w:r>
          </w:p>
        </w:tc>
        <w:tc>
          <w:tcPr>
            <w:tcW w:w="477" w:type="pct"/>
            <w:shd w:val="clear" w:color="auto" w:fill="auto"/>
            <w:vAlign w:val="center"/>
          </w:tcPr>
          <w:p w14:paraId="7245D762">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通讯作者</w:t>
            </w:r>
          </w:p>
          <w:p w14:paraId="6D7FE644">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（含共同）</w:t>
            </w:r>
          </w:p>
        </w:tc>
        <w:tc>
          <w:tcPr>
            <w:tcW w:w="281" w:type="pct"/>
            <w:vAlign w:val="center"/>
          </w:tcPr>
          <w:p w14:paraId="4F816B03">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影响</w:t>
            </w:r>
          </w:p>
          <w:p w14:paraId="364BE567">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因子</w:t>
            </w:r>
          </w:p>
        </w:tc>
        <w:tc>
          <w:tcPr>
            <w:tcW w:w="198" w:type="pct"/>
            <w:vAlign w:val="center"/>
          </w:tcPr>
          <w:p w14:paraId="39C573C3">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他引</w:t>
            </w:r>
          </w:p>
          <w:p w14:paraId="2E93848C">
            <w:pPr>
              <w:spacing w:line="300" w:lineRule="exact"/>
              <w:ind w:left="-210" w:leftChars="-100" w:right="-210" w:rightChars="-100"/>
              <w:jc w:val="center"/>
              <w:rPr>
                <w:rFonts w:ascii="Times New Roman" w:hAnsi="Times New Roman"/>
                <w:kern w:val="21"/>
                <w:sz w:val="22"/>
                <w:szCs w:val="22"/>
              </w:rPr>
            </w:pPr>
            <w:r>
              <w:rPr>
                <w:rFonts w:ascii="Times New Roman" w:hAnsi="Times New Roman"/>
                <w:kern w:val="21"/>
                <w:sz w:val="22"/>
                <w:szCs w:val="22"/>
              </w:rPr>
              <w:t>次数</w:t>
            </w:r>
          </w:p>
        </w:tc>
      </w:tr>
      <w:tr w14:paraId="0AC7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0C6C05AA">
            <w:pPr>
              <w:spacing w:line="240" w:lineRule="exact"/>
              <w:ind w:left="-105" w:leftChars="-50" w:right="-105" w:rightChars="-50"/>
              <w:jc w:val="center"/>
              <w:rPr>
                <w:rFonts w:ascii="Times New Roman" w:hAnsi="Times New Roman"/>
                <w:kern w:val="21"/>
                <w:sz w:val="22"/>
                <w:szCs w:val="22"/>
              </w:rPr>
            </w:pPr>
            <w:r>
              <w:rPr>
                <w:rFonts w:ascii="Times New Roman" w:hAnsi="Times New Roman"/>
                <w:kern w:val="21"/>
                <w:sz w:val="22"/>
                <w:szCs w:val="22"/>
              </w:rPr>
              <w:t>1</w:t>
            </w:r>
          </w:p>
        </w:tc>
        <w:tc>
          <w:tcPr>
            <w:tcW w:w="1298" w:type="pct"/>
            <w:shd w:val="clear" w:color="auto" w:fill="auto"/>
            <w:vAlign w:val="center"/>
          </w:tcPr>
          <w:p w14:paraId="24D90507">
            <w:pPr>
              <w:spacing w:line="240" w:lineRule="exact"/>
              <w:ind w:left="-105" w:leftChars="-50" w:right="-105" w:rightChars="-50"/>
              <w:rPr>
                <w:rFonts w:ascii="Times New Roman" w:hAnsi="Times New Roman"/>
                <w:position w:val="-1"/>
                <w:sz w:val="22"/>
                <w:szCs w:val="22"/>
              </w:rPr>
            </w:pPr>
            <w:r>
              <w:rPr>
                <w:rFonts w:ascii="Times New Roman" w:hAnsi="Times New Roman"/>
                <w:position w:val="-1"/>
                <w:sz w:val="22"/>
                <w:szCs w:val="22"/>
              </w:rPr>
              <w:t>Association of genetic variants in m1A modification core genes and neuroblastoma risk</w:t>
            </w:r>
          </w:p>
        </w:tc>
        <w:tc>
          <w:tcPr>
            <w:tcW w:w="1045" w:type="pct"/>
            <w:vAlign w:val="center"/>
          </w:tcPr>
          <w:p w14:paraId="06C6B9D3">
            <w:pPr>
              <w:spacing w:line="240" w:lineRule="exact"/>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BMC Cancer</w:t>
            </w:r>
          </w:p>
        </w:tc>
        <w:tc>
          <w:tcPr>
            <w:tcW w:w="794" w:type="pct"/>
            <w:vAlign w:val="center"/>
          </w:tcPr>
          <w:p w14:paraId="2E0257FD">
            <w:pPr>
              <w:snapToGrid w:val="0"/>
              <w:ind w:left="-210" w:leftChars="-100" w:right="-210" w:rightChars="-100"/>
              <w:jc w:val="center"/>
              <w:rPr>
                <w:rFonts w:ascii="Times New Roman" w:hAnsi="Times New Roman"/>
                <w:kern w:val="21"/>
                <w:sz w:val="22"/>
                <w:szCs w:val="22"/>
              </w:rPr>
            </w:pPr>
            <w:r>
              <w:rPr>
                <w:rFonts w:ascii="Times New Roman" w:hAnsi="Times New Roman"/>
                <w:kern w:val="21"/>
                <w:sz w:val="22"/>
                <w:szCs w:val="22"/>
              </w:rPr>
              <w:t>2025, 25(1):1606</w:t>
            </w:r>
          </w:p>
        </w:tc>
        <w:tc>
          <w:tcPr>
            <w:tcW w:w="312" w:type="pct"/>
            <w:shd w:val="clear" w:color="auto" w:fill="auto"/>
            <w:vAlign w:val="center"/>
          </w:tcPr>
          <w:p w14:paraId="368CFFD0">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蒋苏苏，董思岐，李勇，林磊，陈丽萍，张汶莉，朱锦红，张鑫鑫，杨中华，张蛟，程继文，李莉，周海霞，李素红，杨文瀚，贺静，卓振建</w:t>
            </w:r>
          </w:p>
        </w:tc>
        <w:tc>
          <w:tcPr>
            <w:tcW w:w="409" w:type="pct"/>
            <w:shd w:val="clear" w:color="auto" w:fill="auto"/>
            <w:vAlign w:val="center"/>
          </w:tcPr>
          <w:p w14:paraId="66E40CC9">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蒋苏苏，董思岐，李勇</w:t>
            </w:r>
          </w:p>
        </w:tc>
        <w:tc>
          <w:tcPr>
            <w:tcW w:w="477" w:type="pct"/>
            <w:shd w:val="clear" w:color="auto" w:fill="auto"/>
            <w:vAlign w:val="center"/>
          </w:tcPr>
          <w:p w14:paraId="6BF87946">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贺静，卓振建</w:t>
            </w:r>
          </w:p>
        </w:tc>
        <w:tc>
          <w:tcPr>
            <w:tcW w:w="281" w:type="pct"/>
            <w:vAlign w:val="center"/>
          </w:tcPr>
          <w:p w14:paraId="1127977B">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3.4</w:t>
            </w:r>
          </w:p>
        </w:tc>
        <w:tc>
          <w:tcPr>
            <w:tcW w:w="198" w:type="pct"/>
            <w:vAlign w:val="center"/>
          </w:tcPr>
          <w:p w14:paraId="6BA6A08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0</w:t>
            </w:r>
          </w:p>
        </w:tc>
      </w:tr>
      <w:tr w14:paraId="45E1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51478168">
            <w:pPr>
              <w:spacing w:line="240" w:lineRule="exact"/>
              <w:ind w:left="-105" w:leftChars="-50" w:right="-105" w:rightChars="-50"/>
              <w:jc w:val="center"/>
              <w:rPr>
                <w:rFonts w:ascii="Times New Roman" w:hAnsi="Times New Roman"/>
                <w:kern w:val="21"/>
                <w:sz w:val="22"/>
                <w:szCs w:val="22"/>
              </w:rPr>
            </w:pPr>
            <w:r>
              <w:rPr>
                <w:rFonts w:ascii="Times New Roman" w:hAnsi="Times New Roman"/>
                <w:kern w:val="21"/>
                <w:sz w:val="22"/>
                <w:szCs w:val="22"/>
              </w:rPr>
              <w:t>2</w:t>
            </w:r>
          </w:p>
        </w:tc>
        <w:tc>
          <w:tcPr>
            <w:tcW w:w="1298" w:type="pct"/>
            <w:shd w:val="clear" w:color="auto" w:fill="auto"/>
            <w:vAlign w:val="center"/>
          </w:tcPr>
          <w:p w14:paraId="2B11E0FA">
            <w:pPr>
              <w:spacing w:line="240" w:lineRule="exact"/>
              <w:ind w:left="-105" w:leftChars="-50" w:right="-105" w:rightChars="-50"/>
              <w:rPr>
                <w:rFonts w:ascii="Times New Roman" w:hAnsi="Times New Roman"/>
                <w:position w:val="-1"/>
                <w:sz w:val="22"/>
                <w:szCs w:val="22"/>
              </w:rPr>
            </w:pPr>
            <w:r>
              <w:rPr>
                <w:rFonts w:ascii="Times New Roman" w:hAnsi="Times New Roman"/>
                <w:position w:val="-1"/>
                <w:sz w:val="22"/>
                <w:szCs w:val="22"/>
              </w:rPr>
              <w:t>Association Between Arg72Pro Polymorphism in TP53 and Malignant Abdominal Solid Tumor Risk in Hunan Children</w:t>
            </w:r>
          </w:p>
        </w:tc>
        <w:tc>
          <w:tcPr>
            <w:tcW w:w="1045" w:type="pct"/>
            <w:vAlign w:val="center"/>
          </w:tcPr>
          <w:p w14:paraId="79AE0AFC">
            <w:pPr>
              <w:spacing w:line="240" w:lineRule="exact"/>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Cancer Control</w:t>
            </w:r>
          </w:p>
        </w:tc>
        <w:tc>
          <w:tcPr>
            <w:tcW w:w="794" w:type="pct"/>
            <w:vAlign w:val="center"/>
          </w:tcPr>
          <w:p w14:paraId="54425993">
            <w:pPr>
              <w:snapToGrid w:val="0"/>
              <w:ind w:left="-210" w:leftChars="-100" w:right="-210" w:rightChars="-100"/>
              <w:jc w:val="center"/>
              <w:rPr>
                <w:rFonts w:ascii="Times New Roman" w:hAnsi="Times New Roman"/>
                <w:kern w:val="21"/>
                <w:sz w:val="22"/>
                <w:szCs w:val="22"/>
              </w:rPr>
            </w:pPr>
            <w:r>
              <w:rPr>
                <w:rFonts w:ascii="Times New Roman" w:hAnsi="Times New Roman"/>
                <w:kern w:val="21"/>
                <w:sz w:val="22"/>
                <w:szCs w:val="22"/>
              </w:rPr>
              <w:t>2021, 28:10732748211004880</w:t>
            </w:r>
          </w:p>
        </w:tc>
        <w:tc>
          <w:tcPr>
            <w:tcW w:w="312" w:type="pct"/>
            <w:shd w:val="clear" w:color="auto" w:fill="auto"/>
            <w:vAlign w:val="center"/>
          </w:tcPr>
          <w:p w14:paraId="6B0D238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刘赞，肖政辉，黎明，肖雅玲，王锡阳，贺静，李勇</w:t>
            </w:r>
          </w:p>
        </w:tc>
        <w:tc>
          <w:tcPr>
            <w:tcW w:w="409" w:type="pct"/>
            <w:shd w:val="clear" w:color="auto" w:fill="auto"/>
            <w:vAlign w:val="center"/>
          </w:tcPr>
          <w:p w14:paraId="68D31D22">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刘赞</w:t>
            </w:r>
          </w:p>
        </w:tc>
        <w:tc>
          <w:tcPr>
            <w:tcW w:w="477" w:type="pct"/>
            <w:shd w:val="clear" w:color="auto" w:fill="auto"/>
            <w:vAlign w:val="center"/>
          </w:tcPr>
          <w:p w14:paraId="3DF6A259">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贺静，李勇</w:t>
            </w:r>
          </w:p>
        </w:tc>
        <w:tc>
          <w:tcPr>
            <w:tcW w:w="281" w:type="pct"/>
            <w:vAlign w:val="center"/>
          </w:tcPr>
          <w:p w14:paraId="3299E03B">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2.6</w:t>
            </w:r>
          </w:p>
        </w:tc>
        <w:tc>
          <w:tcPr>
            <w:tcW w:w="198" w:type="pct"/>
            <w:vAlign w:val="center"/>
          </w:tcPr>
          <w:p w14:paraId="268B9EFC">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0</w:t>
            </w:r>
          </w:p>
        </w:tc>
      </w:tr>
      <w:tr w14:paraId="698F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351A6B28">
            <w:pPr>
              <w:spacing w:line="240" w:lineRule="exact"/>
              <w:ind w:left="-105" w:leftChars="-50" w:right="-105" w:rightChars="-50"/>
              <w:jc w:val="center"/>
              <w:rPr>
                <w:rFonts w:ascii="Times New Roman" w:hAnsi="Times New Roman"/>
                <w:kern w:val="21"/>
                <w:sz w:val="22"/>
                <w:szCs w:val="22"/>
              </w:rPr>
            </w:pPr>
            <w:r>
              <w:rPr>
                <w:rFonts w:ascii="Times New Roman" w:hAnsi="Times New Roman"/>
                <w:kern w:val="21"/>
                <w:sz w:val="22"/>
                <w:szCs w:val="22"/>
              </w:rPr>
              <w:t>3</w:t>
            </w:r>
          </w:p>
        </w:tc>
        <w:tc>
          <w:tcPr>
            <w:tcW w:w="1298" w:type="pct"/>
            <w:shd w:val="clear" w:color="auto" w:fill="auto"/>
            <w:vAlign w:val="center"/>
          </w:tcPr>
          <w:p w14:paraId="1748C635">
            <w:pPr>
              <w:spacing w:line="240" w:lineRule="exact"/>
              <w:ind w:left="-105" w:leftChars="-50" w:right="-105" w:rightChars="-50"/>
              <w:rPr>
                <w:rFonts w:ascii="Times New Roman" w:hAnsi="Times New Roman"/>
                <w:position w:val="-1"/>
                <w:sz w:val="22"/>
                <w:szCs w:val="22"/>
              </w:rPr>
            </w:pPr>
            <w:r>
              <w:rPr>
                <w:rFonts w:hint="eastAsia" w:ascii="Times New Roman" w:hAnsi="Times New Roman"/>
                <w:position w:val="-1"/>
                <w:sz w:val="22"/>
                <w:szCs w:val="22"/>
              </w:rPr>
              <w:t> TAZ在神经母细胞瘤组织中表达及临床意义</w:t>
            </w:r>
          </w:p>
        </w:tc>
        <w:tc>
          <w:tcPr>
            <w:tcW w:w="1045" w:type="pct"/>
            <w:vAlign w:val="center"/>
          </w:tcPr>
          <w:p w14:paraId="103CF685">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中国小儿血液与肿瘤杂志</w:t>
            </w:r>
          </w:p>
        </w:tc>
        <w:tc>
          <w:tcPr>
            <w:tcW w:w="794" w:type="pct"/>
            <w:vAlign w:val="center"/>
          </w:tcPr>
          <w:p w14:paraId="3C218061">
            <w:pPr>
              <w:snapToGrid w:val="0"/>
              <w:ind w:left="-210" w:leftChars="-100" w:right="-210" w:rightChars="-100"/>
              <w:jc w:val="center"/>
              <w:rPr>
                <w:rFonts w:ascii="Times New Roman" w:hAnsi="Times New Roman"/>
                <w:kern w:val="21"/>
                <w:sz w:val="22"/>
                <w:szCs w:val="22"/>
              </w:rPr>
            </w:pPr>
            <w:r>
              <w:rPr>
                <w:rFonts w:ascii="Times New Roman" w:hAnsi="Times New Roman"/>
                <w:kern w:val="21"/>
                <w:sz w:val="22"/>
                <w:szCs w:val="22"/>
              </w:rPr>
              <w:t>2021, 6: 70-74,79</w:t>
            </w:r>
          </w:p>
        </w:tc>
        <w:tc>
          <w:tcPr>
            <w:tcW w:w="312" w:type="pct"/>
            <w:shd w:val="clear" w:color="auto" w:fill="auto"/>
            <w:vAlign w:val="center"/>
          </w:tcPr>
          <w:p w14:paraId="78ACABA6">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刘登辉，唐湘莲，周宇翔，黄召，李勇</w:t>
            </w:r>
          </w:p>
        </w:tc>
        <w:tc>
          <w:tcPr>
            <w:tcW w:w="409" w:type="pct"/>
            <w:shd w:val="clear" w:color="auto" w:fill="auto"/>
            <w:vAlign w:val="center"/>
          </w:tcPr>
          <w:p w14:paraId="13063A49">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刘登辉</w:t>
            </w:r>
          </w:p>
        </w:tc>
        <w:tc>
          <w:tcPr>
            <w:tcW w:w="477" w:type="pct"/>
            <w:shd w:val="clear" w:color="auto" w:fill="auto"/>
            <w:vAlign w:val="center"/>
          </w:tcPr>
          <w:p w14:paraId="3A0AC0DF">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李勇</w:t>
            </w:r>
          </w:p>
        </w:tc>
        <w:tc>
          <w:tcPr>
            <w:tcW w:w="281" w:type="pct"/>
            <w:vAlign w:val="center"/>
          </w:tcPr>
          <w:p w14:paraId="6C7802F4">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0</w:t>
            </w:r>
          </w:p>
        </w:tc>
        <w:tc>
          <w:tcPr>
            <w:tcW w:w="198" w:type="pct"/>
            <w:vAlign w:val="center"/>
          </w:tcPr>
          <w:p w14:paraId="420CB4D5">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2</w:t>
            </w:r>
          </w:p>
        </w:tc>
      </w:tr>
      <w:tr w14:paraId="502D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17C4E2B1">
            <w:pPr>
              <w:spacing w:line="240" w:lineRule="exact"/>
              <w:ind w:left="-105" w:leftChars="-50" w:right="-105" w:rightChars="-50"/>
              <w:jc w:val="center"/>
              <w:rPr>
                <w:rFonts w:ascii="Times New Roman" w:hAnsi="Times New Roman"/>
                <w:kern w:val="21"/>
                <w:sz w:val="22"/>
                <w:szCs w:val="22"/>
              </w:rPr>
            </w:pPr>
            <w:r>
              <w:rPr>
                <w:rFonts w:hint="eastAsia" w:ascii="Times New Roman" w:hAnsi="Times New Roman"/>
                <w:kern w:val="21"/>
                <w:sz w:val="22"/>
                <w:szCs w:val="22"/>
              </w:rPr>
              <w:t>4</w:t>
            </w:r>
          </w:p>
        </w:tc>
        <w:tc>
          <w:tcPr>
            <w:tcW w:w="1298" w:type="pct"/>
            <w:shd w:val="clear" w:color="auto" w:fill="auto"/>
            <w:vAlign w:val="center"/>
          </w:tcPr>
          <w:p w14:paraId="1223EBA4">
            <w:pPr>
              <w:spacing w:line="240" w:lineRule="exact"/>
              <w:ind w:left="-105" w:leftChars="-50" w:right="-105" w:rightChars="-50"/>
              <w:rPr>
                <w:rFonts w:ascii="Times New Roman" w:hAnsi="Times New Roman"/>
                <w:position w:val="-1"/>
                <w:sz w:val="22"/>
                <w:szCs w:val="22"/>
              </w:rPr>
            </w:pPr>
            <w:r>
              <w:rPr>
                <w:rFonts w:ascii="Times New Roman" w:hAnsi="Times New Roman"/>
                <w:position w:val="-1"/>
                <w:sz w:val="22"/>
                <w:szCs w:val="22"/>
              </w:rPr>
              <w:t>Histone deacetylase HDAC2 regulates microRNA-125a expression in neuroblastoma</w:t>
            </w:r>
          </w:p>
        </w:tc>
        <w:tc>
          <w:tcPr>
            <w:tcW w:w="1045" w:type="pct"/>
            <w:vAlign w:val="center"/>
          </w:tcPr>
          <w:p w14:paraId="475AD160">
            <w:pPr>
              <w:spacing w:line="240" w:lineRule="exact"/>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Brain Behav</w:t>
            </w:r>
          </w:p>
        </w:tc>
        <w:tc>
          <w:tcPr>
            <w:tcW w:w="794" w:type="pct"/>
            <w:vAlign w:val="center"/>
          </w:tcPr>
          <w:p w14:paraId="61378D14">
            <w:pPr>
              <w:snapToGrid w:val="0"/>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2022, 12(2):e2401</w:t>
            </w:r>
          </w:p>
        </w:tc>
        <w:tc>
          <w:tcPr>
            <w:tcW w:w="312" w:type="pct"/>
            <w:shd w:val="clear" w:color="auto" w:fill="auto"/>
            <w:vAlign w:val="center"/>
          </w:tcPr>
          <w:p w14:paraId="7CDE390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刘登辉，唐湘莲，黄召，文佳冰，周宇翔</w:t>
            </w:r>
          </w:p>
        </w:tc>
        <w:tc>
          <w:tcPr>
            <w:tcW w:w="409" w:type="pct"/>
            <w:shd w:val="clear" w:color="auto" w:fill="auto"/>
            <w:vAlign w:val="center"/>
          </w:tcPr>
          <w:p w14:paraId="6A744178">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刘登辉</w:t>
            </w:r>
          </w:p>
        </w:tc>
        <w:tc>
          <w:tcPr>
            <w:tcW w:w="477" w:type="pct"/>
            <w:shd w:val="clear" w:color="auto" w:fill="auto"/>
            <w:vAlign w:val="center"/>
          </w:tcPr>
          <w:p w14:paraId="47350A7F">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周宇翔</w:t>
            </w:r>
          </w:p>
        </w:tc>
        <w:tc>
          <w:tcPr>
            <w:tcW w:w="281" w:type="pct"/>
            <w:vAlign w:val="center"/>
          </w:tcPr>
          <w:p w14:paraId="1EC8DB9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2.7</w:t>
            </w:r>
          </w:p>
        </w:tc>
        <w:tc>
          <w:tcPr>
            <w:tcW w:w="198" w:type="pct"/>
            <w:vAlign w:val="center"/>
          </w:tcPr>
          <w:p w14:paraId="142E301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2</w:t>
            </w:r>
          </w:p>
        </w:tc>
      </w:tr>
      <w:tr w14:paraId="56A8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6A8A95E8">
            <w:pPr>
              <w:spacing w:line="240" w:lineRule="exact"/>
              <w:ind w:left="-105" w:leftChars="-50" w:right="-105" w:rightChars="-50"/>
              <w:jc w:val="center"/>
              <w:rPr>
                <w:rFonts w:ascii="Times New Roman" w:hAnsi="Times New Roman"/>
                <w:kern w:val="21"/>
                <w:sz w:val="22"/>
                <w:szCs w:val="22"/>
              </w:rPr>
            </w:pPr>
            <w:r>
              <w:rPr>
                <w:rFonts w:hint="eastAsia" w:ascii="Times New Roman" w:hAnsi="Times New Roman"/>
                <w:kern w:val="21"/>
                <w:sz w:val="22"/>
                <w:szCs w:val="22"/>
              </w:rPr>
              <w:t>5</w:t>
            </w:r>
          </w:p>
        </w:tc>
        <w:tc>
          <w:tcPr>
            <w:tcW w:w="1298" w:type="pct"/>
            <w:shd w:val="clear" w:color="auto" w:fill="auto"/>
            <w:vAlign w:val="center"/>
          </w:tcPr>
          <w:p w14:paraId="4F187AC1">
            <w:pPr>
              <w:spacing w:line="240" w:lineRule="exact"/>
              <w:ind w:left="-105" w:leftChars="-50" w:right="-105" w:rightChars="-50"/>
              <w:rPr>
                <w:rFonts w:ascii="Times New Roman" w:hAnsi="Times New Roman"/>
                <w:position w:val="-1"/>
                <w:sz w:val="22"/>
                <w:szCs w:val="22"/>
              </w:rPr>
            </w:pPr>
            <w:r>
              <w:rPr>
                <w:rFonts w:ascii="Times New Roman" w:hAnsi="Times New Roman"/>
                <w:position w:val="-1"/>
                <w:sz w:val="22"/>
                <w:szCs w:val="22"/>
              </w:rPr>
              <w:t>KLF5 promotes KIF1A expression through transcriptional repression of microRNA-338 in the development of pediatric neuroblastoma</w:t>
            </w:r>
          </w:p>
        </w:tc>
        <w:tc>
          <w:tcPr>
            <w:tcW w:w="1045" w:type="pct"/>
            <w:vAlign w:val="center"/>
          </w:tcPr>
          <w:p w14:paraId="495233DC">
            <w:pPr>
              <w:spacing w:line="240" w:lineRule="exact"/>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Journal of Pediatric Surgery</w:t>
            </w:r>
          </w:p>
        </w:tc>
        <w:tc>
          <w:tcPr>
            <w:tcW w:w="794" w:type="pct"/>
            <w:vAlign w:val="center"/>
          </w:tcPr>
          <w:p w14:paraId="4971AF24">
            <w:pPr>
              <w:snapToGrid w:val="0"/>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2022, 57(9):192-201</w:t>
            </w:r>
          </w:p>
        </w:tc>
        <w:tc>
          <w:tcPr>
            <w:tcW w:w="312" w:type="pct"/>
            <w:shd w:val="clear" w:color="auto" w:fill="auto"/>
            <w:vAlign w:val="center"/>
          </w:tcPr>
          <w:p w14:paraId="5412E497">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周宇翔，唐湘莲，黄召，文佳冰，向强兴，刘登辉</w:t>
            </w:r>
          </w:p>
        </w:tc>
        <w:tc>
          <w:tcPr>
            <w:tcW w:w="409" w:type="pct"/>
            <w:shd w:val="clear" w:color="auto" w:fill="auto"/>
            <w:vAlign w:val="center"/>
          </w:tcPr>
          <w:p w14:paraId="6581B74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周宇翔</w:t>
            </w:r>
          </w:p>
        </w:tc>
        <w:tc>
          <w:tcPr>
            <w:tcW w:w="477" w:type="pct"/>
            <w:shd w:val="clear" w:color="auto" w:fill="auto"/>
            <w:vAlign w:val="center"/>
          </w:tcPr>
          <w:p w14:paraId="0800DDD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刘登辉</w:t>
            </w:r>
          </w:p>
        </w:tc>
        <w:tc>
          <w:tcPr>
            <w:tcW w:w="281" w:type="pct"/>
            <w:vAlign w:val="center"/>
          </w:tcPr>
          <w:p w14:paraId="52F8F9C5">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2.5</w:t>
            </w:r>
          </w:p>
        </w:tc>
        <w:tc>
          <w:tcPr>
            <w:tcW w:w="198" w:type="pct"/>
            <w:vAlign w:val="center"/>
          </w:tcPr>
          <w:p w14:paraId="390A57DB">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4</w:t>
            </w:r>
          </w:p>
        </w:tc>
      </w:tr>
      <w:tr w14:paraId="403D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5B8679D1">
            <w:pPr>
              <w:spacing w:line="240" w:lineRule="exact"/>
              <w:ind w:left="-105" w:leftChars="-50" w:right="-105" w:rightChars="-50"/>
              <w:jc w:val="center"/>
              <w:rPr>
                <w:rFonts w:ascii="Times New Roman" w:hAnsi="Times New Roman"/>
                <w:kern w:val="21"/>
                <w:sz w:val="22"/>
                <w:szCs w:val="22"/>
              </w:rPr>
            </w:pPr>
            <w:r>
              <w:rPr>
                <w:rFonts w:hint="eastAsia" w:ascii="Times New Roman" w:hAnsi="Times New Roman"/>
                <w:kern w:val="21"/>
                <w:sz w:val="22"/>
                <w:szCs w:val="22"/>
              </w:rPr>
              <w:t>6</w:t>
            </w:r>
          </w:p>
        </w:tc>
        <w:tc>
          <w:tcPr>
            <w:tcW w:w="1298" w:type="pct"/>
            <w:shd w:val="clear" w:color="auto" w:fill="auto"/>
            <w:vAlign w:val="center"/>
          </w:tcPr>
          <w:p w14:paraId="4B68DD8A">
            <w:pPr>
              <w:spacing w:line="240" w:lineRule="exact"/>
              <w:ind w:left="-105" w:leftChars="-50" w:right="-105" w:rightChars="-50"/>
              <w:rPr>
                <w:rFonts w:ascii="Times New Roman" w:hAnsi="Times New Roman"/>
                <w:position w:val="-1"/>
                <w:sz w:val="22"/>
                <w:szCs w:val="22"/>
              </w:rPr>
            </w:pPr>
            <w:r>
              <w:rPr>
                <w:rFonts w:ascii="Times New Roman" w:hAnsi="Times New Roman"/>
                <w:position w:val="-1"/>
                <w:sz w:val="22"/>
                <w:szCs w:val="22"/>
              </w:rPr>
              <w:t>Proteomic analysis reveals chromatin remodeling as a potential therapeutical target in neuroblastoma</w:t>
            </w:r>
          </w:p>
        </w:tc>
        <w:tc>
          <w:tcPr>
            <w:tcW w:w="1045" w:type="pct"/>
            <w:vAlign w:val="center"/>
          </w:tcPr>
          <w:p w14:paraId="496ABE9B">
            <w:pPr>
              <w:spacing w:line="240" w:lineRule="exact"/>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Journal of Translational Medicine</w:t>
            </w:r>
          </w:p>
        </w:tc>
        <w:tc>
          <w:tcPr>
            <w:tcW w:w="794" w:type="pct"/>
            <w:vAlign w:val="center"/>
          </w:tcPr>
          <w:p w14:paraId="12781302">
            <w:pPr>
              <w:snapToGrid w:val="0"/>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2025，23(1):234</w:t>
            </w:r>
          </w:p>
        </w:tc>
        <w:tc>
          <w:tcPr>
            <w:tcW w:w="312" w:type="pct"/>
            <w:shd w:val="clear" w:color="auto" w:fill="auto"/>
            <w:vAlign w:val="center"/>
          </w:tcPr>
          <w:p w14:paraId="63D12C78">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刘赞，赵梓彤，谢龙龙，肖政辉，黎明，李勇，罗婷</w:t>
            </w:r>
          </w:p>
        </w:tc>
        <w:tc>
          <w:tcPr>
            <w:tcW w:w="409" w:type="pct"/>
            <w:shd w:val="clear" w:color="auto" w:fill="auto"/>
            <w:vAlign w:val="center"/>
          </w:tcPr>
          <w:p w14:paraId="3DB56EC3">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刘赞</w:t>
            </w:r>
          </w:p>
        </w:tc>
        <w:tc>
          <w:tcPr>
            <w:tcW w:w="477" w:type="pct"/>
            <w:shd w:val="clear" w:color="auto" w:fill="auto"/>
            <w:vAlign w:val="center"/>
          </w:tcPr>
          <w:p w14:paraId="39E70574">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罗婷</w:t>
            </w:r>
          </w:p>
        </w:tc>
        <w:tc>
          <w:tcPr>
            <w:tcW w:w="281" w:type="pct"/>
            <w:vAlign w:val="center"/>
          </w:tcPr>
          <w:p w14:paraId="37D569DA">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6.1</w:t>
            </w:r>
          </w:p>
        </w:tc>
        <w:tc>
          <w:tcPr>
            <w:tcW w:w="198" w:type="pct"/>
            <w:vAlign w:val="center"/>
          </w:tcPr>
          <w:p w14:paraId="3B03B725">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7</w:t>
            </w:r>
          </w:p>
        </w:tc>
      </w:tr>
      <w:tr w14:paraId="66CA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1B998922">
            <w:pPr>
              <w:spacing w:line="240" w:lineRule="exact"/>
              <w:ind w:left="-105" w:leftChars="-50" w:right="-105" w:rightChars="-50"/>
              <w:jc w:val="center"/>
              <w:rPr>
                <w:rFonts w:ascii="Times New Roman" w:hAnsi="Times New Roman"/>
                <w:kern w:val="21"/>
                <w:sz w:val="22"/>
                <w:szCs w:val="22"/>
              </w:rPr>
            </w:pPr>
            <w:r>
              <w:rPr>
                <w:rFonts w:hint="eastAsia" w:ascii="Times New Roman" w:hAnsi="Times New Roman"/>
                <w:kern w:val="21"/>
                <w:sz w:val="22"/>
                <w:szCs w:val="22"/>
              </w:rPr>
              <w:t>7</w:t>
            </w:r>
          </w:p>
        </w:tc>
        <w:tc>
          <w:tcPr>
            <w:tcW w:w="1298" w:type="pct"/>
            <w:shd w:val="clear" w:color="auto" w:fill="auto"/>
            <w:vAlign w:val="center"/>
          </w:tcPr>
          <w:p w14:paraId="2F2B26E1">
            <w:pPr>
              <w:spacing w:line="240" w:lineRule="exact"/>
              <w:ind w:left="-105" w:leftChars="-50" w:right="-105" w:rightChars="-50"/>
              <w:rPr>
                <w:rFonts w:ascii="Times New Roman" w:hAnsi="Times New Roman"/>
                <w:position w:val="-1"/>
                <w:sz w:val="22"/>
                <w:szCs w:val="22"/>
              </w:rPr>
            </w:pPr>
            <w:r>
              <w:rPr>
                <w:rFonts w:hint="eastAsia" w:ascii="Times New Roman" w:hAnsi="Times New Roman"/>
                <w:position w:val="-1"/>
                <w:sz w:val="22"/>
                <w:szCs w:val="22"/>
              </w:rPr>
              <w:t>血管骨骼化解剖在小儿腹膜后肿瘤切除术中的应用</w:t>
            </w:r>
          </w:p>
        </w:tc>
        <w:tc>
          <w:tcPr>
            <w:tcW w:w="1045" w:type="pct"/>
            <w:vAlign w:val="center"/>
          </w:tcPr>
          <w:p w14:paraId="4F330FB8">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临床小儿外科杂志</w:t>
            </w:r>
          </w:p>
        </w:tc>
        <w:tc>
          <w:tcPr>
            <w:tcW w:w="794" w:type="pct"/>
            <w:vAlign w:val="center"/>
          </w:tcPr>
          <w:p w14:paraId="660C09C0">
            <w:pPr>
              <w:snapToGrid w:val="0"/>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2021, 5: 773-777</w:t>
            </w:r>
          </w:p>
        </w:tc>
        <w:tc>
          <w:tcPr>
            <w:tcW w:w="312" w:type="pct"/>
            <w:shd w:val="clear" w:color="auto" w:fill="auto"/>
            <w:vAlign w:val="center"/>
          </w:tcPr>
          <w:p w14:paraId="0D461151">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黎明，李勇，肖雅玲，刘赞，黄召，刘登辉，唐湘莲，周宇翔，向强兴</w:t>
            </w:r>
          </w:p>
        </w:tc>
        <w:tc>
          <w:tcPr>
            <w:tcW w:w="409" w:type="pct"/>
            <w:shd w:val="clear" w:color="auto" w:fill="auto"/>
            <w:vAlign w:val="center"/>
          </w:tcPr>
          <w:p w14:paraId="5A67A29E">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黎明</w:t>
            </w:r>
          </w:p>
        </w:tc>
        <w:tc>
          <w:tcPr>
            <w:tcW w:w="477" w:type="pct"/>
            <w:shd w:val="clear" w:color="auto" w:fill="auto"/>
            <w:vAlign w:val="center"/>
          </w:tcPr>
          <w:p w14:paraId="49461108">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李勇</w:t>
            </w:r>
          </w:p>
        </w:tc>
        <w:tc>
          <w:tcPr>
            <w:tcW w:w="281" w:type="pct"/>
            <w:vAlign w:val="center"/>
          </w:tcPr>
          <w:p w14:paraId="33B70F74">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0</w:t>
            </w:r>
          </w:p>
        </w:tc>
        <w:tc>
          <w:tcPr>
            <w:tcW w:w="198" w:type="pct"/>
            <w:vAlign w:val="center"/>
          </w:tcPr>
          <w:p w14:paraId="2EF870CA">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2</w:t>
            </w:r>
          </w:p>
        </w:tc>
      </w:tr>
      <w:tr w14:paraId="3FDE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2841150A">
            <w:pPr>
              <w:spacing w:line="240" w:lineRule="exact"/>
              <w:ind w:left="-105" w:leftChars="-50" w:right="-105" w:rightChars="-50"/>
              <w:jc w:val="center"/>
              <w:rPr>
                <w:rFonts w:ascii="Times New Roman" w:hAnsi="Times New Roman"/>
                <w:kern w:val="21"/>
                <w:sz w:val="22"/>
                <w:szCs w:val="22"/>
              </w:rPr>
            </w:pPr>
            <w:r>
              <w:rPr>
                <w:rFonts w:hint="eastAsia" w:ascii="Times New Roman" w:hAnsi="Times New Roman"/>
                <w:kern w:val="21"/>
                <w:sz w:val="22"/>
                <w:szCs w:val="22"/>
              </w:rPr>
              <w:t>8</w:t>
            </w:r>
          </w:p>
        </w:tc>
        <w:tc>
          <w:tcPr>
            <w:tcW w:w="1298" w:type="pct"/>
            <w:shd w:val="clear" w:color="auto" w:fill="auto"/>
            <w:vAlign w:val="center"/>
          </w:tcPr>
          <w:p w14:paraId="3CA9626A">
            <w:pPr>
              <w:spacing w:line="240" w:lineRule="exact"/>
              <w:ind w:left="-105" w:leftChars="-50" w:right="-105" w:rightChars="-50"/>
              <w:rPr>
                <w:rFonts w:ascii="Times New Roman" w:hAnsi="Times New Roman"/>
                <w:position w:val="-1"/>
                <w:sz w:val="22"/>
                <w:szCs w:val="22"/>
              </w:rPr>
            </w:pPr>
            <w:r>
              <w:rPr>
                <w:rFonts w:hint="eastAsia" w:ascii="Times New Roman" w:hAnsi="Times New Roman"/>
                <w:position w:val="-1"/>
                <w:sz w:val="22"/>
                <w:szCs w:val="22"/>
              </w:rPr>
              <w:t>腔内心电图定位技术在儿童输液港植入术中的应用</w:t>
            </w:r>
          </w:p>
        </w:tc>
        <w:tc>
          <w:tcPr>
            <w:tcW w:w="1045" w:type="pct"/>
            <w:vAlign w:val="center"/>
          </w:tcPr>
          <w:p w14:paraId="222379C6">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临床小儿外科杂志</w:t>
            </w:r>
          </w:p>
        </w:tc>
        <w:tc>
          <w:tcPr>
            <w:tcW w:w="794" w:type="pct"/>
            <w:vAlign w:val="center"/>
          </w:tcPr>
          <w:p w14:paraId="2DC3F4F4">
            <w:pPr>
              <w:snapToGrid w:val="0"/>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2024,, 5:672-676</w:t>
            </w:r>
          </w:p>
        </w:tc>
        <w:tc>
          <w:tcPr>
            <w:tcW w:w="312" w:type="pct"/>
            <w:shd w:val="clear" w:color="auto" w:fill="auto"/>
            <w:vAlign w:val="center"/>
          </w:tcPr>
          <w:p w14:paraId="397172E1">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黎明，刘赞，黄召，刘登辉，唐湘莲，周宇翔，向强兴，文佳冰，李勇</w:t>
            </w:r>
          </w:p>
        </w:tc>
        <w:tc>
          <w:tcPr>
            <w:tcW w:w="409" w:type="pct"/>
            <w:shd w:val="clear" w:color="auto" w:fill="auto"/>
            <w:vAlign w:val="center"/>
          </w:tcPr>
          <w:p w14:paraId="5274EBB3">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黎明</w:t>
            </w:r>
          </w:p>
        </w:tc>
        <w:tc>
          <w:tcPr>
            <w:tcW w:w="477" w:type="pct"/>
            <w:shd w:val="clear" w:color="auto" w:fill="auto"/>
            <w:vAlign w:val="center"/>
          </w:tcPr>
          <w:p w14:paraId="3E7F844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李勇</w:t>
            </w:r>
          </w:p>
        </w:tc>
        <w:tc>
          <w:tcPr>
            <w:tcW w:w="281" w:type="pct"/>
            <w:vAlign w:val="center"/>
          </w:tcPr>
          <w:p w14:paraId="480A2BA3">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0</w:t>
            </w:r>
          </w:p>
        </w:tc>
        <w:tc>
          <w:tcPr>
            <w:tcW w:w="198" w:type="pct"/>
            <w:vAlign w:val="center"/>
          </w:tcPr>
          <w:p w14:paraId="281A1039">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0</w:t>
            </w:r>
          </w:p>
        </w:tc>
      </w:tr>
      <w:tr w14:paraId="2AE9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562E0A61">
            <w:pPr>
              <w:spacing w:line="240" w:lineRule="exact"/>
              <w:ind w:left="-105" w:leftChars="-50" w:right="-105" w:rightChars="-50"/>
              <w:jc w:val="center"/>
              <w:rPr>
                <w:rFonts w:ascii="Times New Roman" w:hAnsi="Times New Roman"/>
                <w:kern w:val="21"/>
                <w:sz w:val="22"/>
                <w:szCs w:val="22"/>
              </w:rPr>
            </w:pPr>
            <w:r>
              <w:rPr>
                <w:rFonts w:hint="eastAsia" w:ascii="Times New Roman" w:hAnsi="Times New Roman"/>
                <w:kern w:val="21"/>
                <w:sz w:val="22"/>
                <w:szCs w:val="22"/>
              </w:rPr>
              <w:t>9</w:t>
            </w:r>
          </w:p>
        </w:tc>
        <w:tc>
          <w:tcPr>
            <w:tcW w:w="1298" w:type="pct"/>
            <w:shd w:val="clear" w:color="auto" w:fill="auto"/>
            <w:vAlign w:val="center"/>
          </w:tcPr>
          <w:p w14:paraId="3B3A9D37">
            <w:pPr>
              <w:spacing w:line="240" w:lineRule="exact"/>
              <w:ind w:left="-105" w:leftChars="-50" w:right="-105" w:rightChars="-50"/>
              <w:rPr>
                <w:rFonts w:ascii="Times New Roman" w:hAnsi="Times New Roman"/>
                <w:position w:val="-1"/>
                <w:sz w:val="22"/>
                <w:szCs w:val="22"/>
              </w:rPr>
            </w:pPr>
            <w:r>
              <w:rPr>
                <w:rFonts w:ascii="Times New Roman" w:hAnsi="Times New Roman"/>
                <w:position w:val="-1"/>
                <w:sz w:val="22"/>
                <w:szCs w:val="22"/>
              </w:rPr>
              <w:t>A cyclic nano-reactor achieving enhanced photodynamic tumor therapy by reversing multiple resistances</w:t>
            </w:r>
          </w:p>
        </w:tc>
        <w:tc>
          <w:tcPr>
            <w:tcW w:w="1045" w:type="pct"/>
            <w:vAlign w:val="center"/>
          </w:tcPr>
          <w:p w14:paraId="72B50862">
            <w:pPr>
              <w:spacing w:line="240" w:lineRule="exact"/>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J</w:t>
            </w:r>
            <w:r>
              <w:rPr>
                <w:rFonts w:hint="eastAsia" w:ascii="Times New Roman" w:hAnsi="Times New Roman"/>
                <w:position w:val="-1"/>
                <w:sz w:val="22"/>
                <w:szCs w:val="22"/>
              </w:rPr>
              <w:t>ournal of</w:t>
            </w:r>
            <w:r>
              <w:rPr>
                <w:rFonts w:ascii="Times New Roman" w:hAnsi="Times New Roman"/>
                <w:position w:val="-1"/>
                <w:sz w:val="22"/>
                <w:szCs w:val="22"/>
              </w:rPr>
              <w:t xml:space="preserve"> Nanobiotechnology</w:t>
            </w:r>
          </w:p>
        </w:tc>
        <w:tc>
          <w:tcPr>
            <w:tcW w:w="794" w:type="pct"/>
            <w:vAlign w:val="center"/>
          </w:tcPr>
          <w:p w14:paraId="49714BD8">
            <w:pPr>
              <w:snapToGrid w:val="0"/>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2021, 19(1):149</w:t>
            </w:r>
          </w:p>
        </w:tc>
        <w:tc>
          <w:tcPr>
            <w:tcW w:w="312" w:type="pct"/>
            <w:shd w:val="clear" w:color="auto" w:fill="auto"/>
            <w:vAlign w:val="center"/>
          </w:tcPr>
          <w:p w14:paraId="5997F8C4">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刘鹏，周彦彬，石欣怡，袁玉，彭颖，花苏榕，罗千歌，丁劲松，李勇，周文虎</w:t>
            </w:r>
          </w:p>
        </w:tc>
        <w:tc>
          <w:tcPr>
            <w:tcW w:w="409" w:type="pct"/>
            <w:shd w:val="clear" w:color="auto" w:fill="auto"/>
            <w:vAlign w:val="center"/>
          </w:tcPr>
          <w:p w14:paraId="5D29153B">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刘鹏</w:t>
            </w:r>
          </w:p>
        </w:tc>
        <w:tc>
          <w:tcPr>
            <w:tcW w:w="477" w:type="pct"/>
            <w:shd w:val="clear" w:color="auto" w:fill="auto"/>
            <w:vAlign w:val="center"/>
          </w:tcPr>
          <w:p w14:paraId="76CE58F6">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李勇，周文虎</w:t>
            </w:r>
          </w:p>
        </w:tc>
        <w:tc>
          <w:tcPr>
            <w:tcW w:w="281" w:type="pct"/>
            <w:vAlign w:val="center"/>
          </w:tcPr>
          <w:p w14:paraId="6F97CF5A">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12.6</w:t>
            </w:r>
          </w:p>
        </w:tc>
        <w:tc>
          <w:tcPr>
            <w:tcW w:w="198" w:type="pct"/>
            <w:vAlign w:val="center"/>
          </w:tcPr>
          <w:p w14:paraId="148BA342">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20</w:t>
            </w:r>
          </w:p>
        </w:tc>
      </w:tr>
      <w:tr w14:paraId="7940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39181031">
            <w:pPr>
              <w:spacing w:line="240" w:lineRule="exact"/>
              <w:ind w:left="-105" w:leftChars="-50" w:right="-105" w:rightChars="-50"/>
              <w:jc w:val="center"/>
              <w:rPr>
                <w:rFonts w:ascii="Times New Roman" w:hAnsi="Times New Roman"/>
                <w:kern w:val="21"/>
                <w:sz w:val="22"/>
                <w:szCs w:val="22"/>
              </w:rPr>
            </w:pPr>
            <w:r>
              <w:rPr>
                <w:rFonts w:hint="eastAsia" w:ascii="Times New Roman" w:hAnsi="Times New Roman"/>
                <w:kern w:val="21"/>
                <w:sz w:val="22"/>
                <w:szCs w:val="22"/>
              </w:rPr>
              <w:t>10</w:t>
            </w:r>
          </w:p>
        </w:tc>
        <w:tc>
          <w:tcPr>
            <w:tcW w:w="1298" w:type="pct"/>
            <w:shd w:val="clear" w:color="auto" w:fill="auto"/>
            <w:vAlign w:val="center"/>
          </w:tcPr>
          <w:p w14:paraId="65A6EA82">
            <w:pPr>
              <w:spacing w:line="240" w:lineRule="exact"/>
              <w:ind w:left="-105" w:leftChars="-50" w:right="-105" w:rightChars="-50"/>
              <w:rPr>
                <w:rFonts w:ascii="Times New Roman" w:hAnsi="Times New Roman"/>
                <w:position w:val="-1"/>
                <w:sz w:val="22"/>
                <w:szCs w:val="22"/>
              </w:rPr>
            </w:pPr>
            <w:r>
              <w:rPr>
                <w:rFonts w:ascii="Times New Roman" w:hAnsi="Times New Roman"/>
                <w:position w:val="-1"/>
                <w:sz w:val="22"/>
                <w:szCs w:val="22"/>
              </w:rPr>
              <w:t>Mn-phenolic networks as synergistic carrier for STING agonists in tumor immunotherapy</w:t>
            </w:r>
          </w:p>
        </w:tc>
        <w:tc>
          <w:tcPr>
            <w:tcW w:w="1045" w:type="pct"/>
            <w:vAlign w:val="center"/>
          </w:tcPr>
          <w:p w14:paraId="0A26C6A4">
            <w:pPr>
              <w:spacing w:line="240" w:lineRule="exact"/>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Materials Today Bio</w:t>
            </w:r>
          </w:p>
        </w:tc>
        <w:tc>
          <w:tcPr>
            <w:tcW w:w="794" w:type="pct"/>
            <w:vAlign w:val="center"/>
          </w:tcPr>
          <w:p w14:paraId="69916772">
            <w:pPr>
              <w:snapToGrid w:val="0"/>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2024, 26:101018</w:t>
            </w:r>
          </w:p>
        </w:tc>
        <w:tc>
          <w:tcPr>
            <w:tcW w:w="312" w:type="pct"/>
            <w:shd w:val="clear" w:color="auto" w:fill="auto"/>
            <w:vAlign w:val="center"/>
          </w:tcPr>
          <w:p w14:paraId="5E16E638">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孟英才，黄嘉鑫，丁劲松，周海燕，李勇，周文虎</w:t>
            </w:r>
          </w:p>
        </w:tc>
        <w:tc>
          <w:tcPr>
            <w:tcW w:w="409" w:type="pct"/>
            <w:shd w:val="clear" w:color="auto" w:fill="auto"/>
            <w:vAlign w:val="center"/>
          </w:tcPr>
          <w:p w14:paraId="344D406D">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孟英才，黄嘉鑫</w:t>
            </w:r>
          </w:p>
        </w:tc>
        <w:tc>
          <w:tcPr>
            <w:tcW w:w="477" w:type="pct"/>
            <w:shd w:val="clear" w:color="auto" w:fill="auto"/>
            <w:vAlign w:val="center"/>
          </w:tcPr>
          <w:p w14:paraId="5902102B">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周海燕，李勇，周文虎</w:t>
            </w:r>
          </w:p>
        </w:tc>
        <w:tc>
          <w:tcPr>
            <w:tcW w:w="281" w:type="pct"/>
            <w:vAlign w:val="center"/>
          </w:tcPr>
          <w:p w14:paraId="022408CA">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8.7</w:t>
            </w:r>
          </w:p>
        </w:tc>
        <w:tc>
          <w:tcPr>
            <w:tcW w:w="198" w:type="pct"/>
            <w:vAlign w:val="center"/>
          </w:tcPr>
          <w:p w14:paraId="46F5D6C2">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12</w:t>
            </w:r>
          </w:p>
        </w:tc>
      </w:tr>
      <w:tr w14:paraId="4D3D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09D56277">
            <w:pPr>
              <w:spacing w:line="240" w:lineRule="exact"/>
              <w:ind w:left="-105" w:leftChars="-50" w:right="-105" w:rightChars="-50"/>
              <w:jc w:val="center"/>
              <w:rPr>
                <w:rFonts w:ascii="Times New Roman" w:hAnsi="Times New Roman"/>
                <w:kern w:val="21"/>
                <w:sz w:val="22"/>
                <w:szCs w:val="22"/>
              </w:rPr>
            </w:pPr>
            <w:r>
              <w:rPr>
                <w:rFonts w:hint="eastAsia" w:ascii="Times New Roman" w:hAnsi="Times New Roman"/>
                <w:kern w:val="21"/>
                <w:sz w:val="22"/>
                <w:szCs w:val="22"/>
              </w:rPr>
              <w:t>11</w:t>
            </w:r>
          </w:p>
        </w:tc>
        <w:tc>
          <w:tcPr>
            <w:tcW w:w="1298" w:type="pct"/>
            <w:shd w:val="clear" w:color="auto" w:fill="auto"/>
            <w:vAlign w:val="center"/>
          </w:tcPr>
          <w:p w14:paraId="57FEF1CB">
            <w:pPr>
              <w:spacing w:line="240" w:lineRule="exact"/>
              <w:ind w:left="-105" w:leftChars="-50" w:right="-105" w:rightChars="-50"/>
              <w:rPr>
                <w:rFonts w:ascii="Times New Roman" w:hAnsi="Times New Roman"/>
                <w:position w:val="-1"/>
                <w:sz w:val="22"/>
                <w:szCs w:val="22"/>
              </w:rPr>
            </w:pPr>
            <w:r>
              <w:rPr>
                <w:rFonts w:ascii="Times New Roman" w:hAnsi="Times New Roman"/>
                <w:position w:val="-1"/>
                <w:sz w:val="22"/>
                <w:szCs w:val="22"/>
              </w:rPr>
              <w:t>Poly-thymine DNA templated MnO2 biomineralization as a high-affinity anchoring enabling tumor targeting delivery</w:t>
            </w:r>
          </w:p>
        </w:tc>
        <w:tc>
          <w:tcPr>
            <w:tcW w:w="1045" w:type="pct"/>
            <w:vAlign w:val="center"/>
          </w:tcPr>
          <w:p w14:paraId="17FF5AB7">
            <w:pPr>
              <w:spacing w:line="240" w:lineRule="exact"/>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Journal of Colloid and Interface Science</w:t>
            </w:r>
          </w:p>
        </w:tc>
        <w:tc>
          <w:tcPr>
            <w:tcW w:w="794" w:type="pct"/>
            <w:vAlign w:val="center"/>
          </w:tcPr>
          <w:p w14:paraId="77B4448D">
            <w:pPr>
              <w:snapToGrid w:val="0"/>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2023, 637:441-452</w:t>
            </w:r>
          </w:p>
        </w:tc>
        <w:tc>
          <w:tcPr>
            <w:tcW w:w="312" w:type="pct"/>
            <w:shd w:val="clear" w:color="auto" w:fill="auto"/>
            <w:vAlign w:val="center"/>
          </w:tcPr>
          <w:p w14:paraId="06D8B9CF">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孟英才，黄嘉鑫，丁劲松，闫博华，李勇，高翔，周文虎</w:t>
            </w:r>
          </w:p>
        </w:tc>
        <w:tc>
          <w:tcPr>
            <w:tcW w:w="409" w:type="pct"/>
            <w:shd w:val="clear" w:color="auto" w:fill="auto"/>
            <w:vAlign w:val="center"/>
          </w:tcPr>
          <w:p w14:paraId="7931521C">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孟英才，黄嘉鑫</w:t>
            </w:r>
          </w:p>
        </w:tc>
        <w:tc>
          <w:tcPr>
            <w:tcW w:w="477" w:type="pct"/>
            <w:shd w:val="clear" w:color="auto" w:fill="auto"/>
            <w:vAlign w:val="center"/>
          </w:tcPr>
          <w:p w14:paraId="0A854DB3">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李勇，周文虎</w:t>
            </w:r>
          </w:p>
        </w:tc>
        <w:tc>
          <w:tcPr>
            <w:tcW w:w="281" w:type="pct"/>
            <w:vAlign w:val="center"/>
          </w:tcPr>
          <w:p w14:paraId="4B0BA461">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9.9</w:t>
            </w:r>
          </w:p>
        </w:tc>
        <w:tc>
          <w:tcPr>
            <w:tcW w:w="198" w:type="pct"/>
            <w:vAlign w:val="center"/>
          </w:tcPr>
          <w:p w14:paraId="51A38574">
            <w:pPr>
              <w:spacing w:line="240" w:lineRule="exact"/>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0</w:t>
            </w:r>
          </w:p>
        </w:tc>
      </w:tr>
      <w:tr w14:paraId="06A0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7" w:type="pct"/>
            <w:shd w:val="clear" w:color="auto" w:fill="auto"/>
            <w:vAlign w:val="center"/>
          </w:tcPr>
          <w:p w14:paraId="2D6AB5E2">
            <w:pPr>
              <w:ind w:left="-105" w:leftChars="-50" w:right="-105" w:rightChars="-50"/>
              <w:jc w:val="center"/>
              <w:rPr>
                <w:rFonts w:ascii="Times New Roman" w:hAnsi="Times New Roman"/>
                <w:kern w:val="21"/>
                <w:sz w:val="22"/>
                <w:szCs w:val="22"/>
              </w:rPr>
            </w:pPr>
          </w:p>
        </w:tc>
        <w:tc>
          <w:tcPr>
            <w:tcW w:w="1298" w:type="pct"/>
            <w:vAlign w:val="center"/>
          </w:tcPr>
          <w:p w14:paraId="37F05FB2">
            <w:pPr>
              <w:ind w:left="-105" w:leftChars="-50" w:right="-105" w:rightChars="-50"/>
              <w:jc w:val="center"/>
              <w:rPr>
                <w:rFonts w:ascii="Times New Roman" w:hAnsi="Times New Roman"/>
                <w:position w:val="-1"/>
                <w:sz w:val="22"/>
                <w:szCs w:val="22"/>
              </w:rPr>
            </w:pPr>
          </w:p>
        </w:tc>
        <w:tc>
          <w:tcPr>
            <w:tcW w:w="1045" w:type="pct"/>
            <w:vAlign w:val="center"/>
          </w:tcPr>
          <w:p w14:paraId="73312320">
            <w:pPr>
              <w:ind w:left="-105" w:leftChars="-50" w:right="-105" w:rightChars="-50"/>
              <w:jc w:val="center"/>
              <w:rPr>
                <w:rFonts w:ascii="Times New Roman" w:hAnsi="Times New Roman"/>
                <w:position w:val="-1"/>
                <w:sz w:val="22"/>
                <w:szCs w:val="22"/>
              </w:rPr>
            </w:pPr>
          </w:p>
        </w:tc>
        <w:tc>
          <w:tcPr>
            <w:tcW w:w="1991" w:type="pct"/>
            <w:gridSpan w:val="4"/>
            <w:shd w:val="clear" w:color="auto" w:fill="auto"/>
            <w:vAlign w:val="center"/>
          </w:tcPr>
          <w:p w14:paraId="4F913A23">
            <w:pPr>
              <w:ind w:left="-105" w:leftChars="-50" w:right="-105" w:rightChars="-50"/>
              <w:jc w:val="center"/>
              <w:rPr>
                <w:rFonts w:ascii="Times New Roman" w:hAnsi="Times New Roman"/>
                <w:position w:val="-1"/>
                <w:sz w:val="22"/>
                <w:szCs w:val="22"/>
              </w:rPr>
            </w:pPr>
            <w:r>
              <w:rPr>
                <w:rFonts w:ascii="Times New Roman" w:hAnsi="Times New Roman"/>
                <w:position w:val="-1"/>
                <w:sz w:val="22"/>
                <w:szCs w:val="22"/>
              </w:rPr>
              <w:t>合计</w:t>
            </w:r>
          </w:p>
        </w:tc>
        <w:tc>
          <w:tcPr>
            <w:tcW w:w="281" w:type="pct"/>
            <w:vAlign w:val="center"/>
          </w:tcPr>
          <w:p w14:paraId="67232D8C">
            <w:pPr>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48.5</w:t>
            </w:r>
          </w:p>
        </w:tc>
        <w:tc>
          <w:tcPr>
            <w:tcW w:w="198" w:type="pct"/>
            <w:vAlign w:val="center"/>
          </w:tcPr>
          <w:p w14:paraId="1875A6AD">
            <w:pPr>
              <w:ind w:left="-105" w:leftChars="-50" w:right="-105" w:rightChars="-50"/>
              <w:jc w:val="center"/>
              <w:rPr>
                <w:rFonts w:ascii="Times New Roman" w:hAnsi="Times New Roman"/>
                <w:position w:val="-1"/>
                <w:sz w:val="22"/>
                <w:szCs w:val="22"/>
              </w:rPr>
            </w:pPr>
            <w:r>
              <w:rPr>
                <w:rFonts w:hint="eastAsia" w:ascii="Times New Roman" w:hAnsi="Times New Roman"/>
                <w:position w:val="-1"/>
                <w:sz w:val="22"/>
                <w:szCs w:val="22"/>
              </w:rPr>
              <w:t>51</w:t>
            </w:r>
          </w:p>
        </w:tc>
      </w:tr>
    </w:tbl>
    <w:p w14:paraId="4F81870E">
      <w:pPr>
        <w:rPr>
          <w:rFonts w:ascii="Times New Roman" w:hAnsi="Times New Roman" w:eastAsia="黑体"/>
          <w:position w:val="-3"/>
          <w:sz w:val="28"/>
          <w:szCs w:val="28"/>
        </w:rPr>
      </w:pPr>
    </w:p>
    <w:p w14:paraId="5AE0E2F3">
      <w:pPr>
        <w:jc w:val="center"/>
        <w:rPr>
          <w:rFonts w:ascii="Times New Roman" w:hAnsi="Times New Roman" w:eastAsia="黑体"/>
          <w:position w:val="-3"/>
          <w:sz w:val="28"/>
          <w:szCs w:val="28"/>
        </w:rPr>
      </w:pPr>
      <w:r>
        <w:rPr>
          <w:rFonts w:hint="eastAsia" w:ascii="Times New Roman" w:hAnsi="Times New Roman" w:eastAsia="黑体"/>
          <w:position w:val="-3"/>
          <w:sz w:val="28"/>
          <w:szCs w:val="28"/>
        </w:rPr>
        <w:t>六、</w:t>
      </w:r>
      <w:r>
        <w:rPr>
          <w:rFonts w:ascii="Times New Roman" w:hAnsi="Times New Roman" w:eastAsia="黑体"/>
          <w:position w:val="-3"/>
          <w:sz w:val="28"/>
          <w:szCs w:val="28"/>
        </w:rPr>
        <w:t>主要知识产权目录（限10项）</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821"/>
        <w:gridCol w:w="1845"/>
        <w:gridCol w:w="1255"/>
        <w:gridCol w:w="1647"/>
        <w:gridCol w:w="740"/>
        <w:gridCol w:w="1011"/>
        <w:gridCol w:w="923"/>
      </w:tblGrid>
      <w:tr w14:paraId="645F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Align w:val="center"/>
          </w:tcPr>
          <w:p w14:paraId="0C0E7A84">
            <w:pPr>
              <w:pStyle w:val="2"/>
              <w:jc w:val="center"/>
              <w:rPr>
                <w:rFonts w:ascii="Times New Roman" w:hAnsi="Times New Roman"/>
                <w:sz w:val="22"/>
                <w:szCs w:val="22"/>
              </w:rPr>
            </w:pPr>
            <w:r>
              <w:rPr>
                <w:rFonts w:ascii="Times New Roman" w:hAnsi="Times New Roman"/>
                <w:sz w:val="22"/>
                <w:szCs w:val="22"/>
              </w:rPr>
              <w:t>序号</w:t>
            </w:r>
          </w:p>
        </w:tc>
        <w:tc>
          <w:tcPr>
            <w:tcW w:w="495" w:type="pct"/>
            <w:vAlign w:val="center"/>
          </w:tcPr>
          <w:p w14:paraId="7402D94C">
            <w:pPr>
              <w:pStyle w:val="2"/>
              <w:spacing w:line="300" w:lineRule="exact"/>
              <w:jc w:val="center"/>
              <w:rPr>
                <w:rFonts w:ascii="Times New Roman" w:hAnsi="Times New Roman"/>
                <w:sz w:val="22"/>
                <w:szCs w:val="22"/>
              </w:rPr>
            </w:pPr>
            <w:r>
              <w:rPr>
                <w:rFonts w:ascii="Times New Roman" w:hAnsi="Times New Roman"/>
                <w:sz w:val="22"/>
                <w:szCs w:val="22"/>
              </w:rPr>
              <w:t>知识产权类别</w:t>
            </w:r>
          </w:p>
        </w:tc>
        <w:tc>
          <w:tcPr>
            <w:tcW w:w="1059" w:type="pct"/>
            <w:vAlign w:val="center"/>
          </w:tcPr>
          <w:p w14:paraId="3027B231">
            <w:pPr>
              <w:pStyle w:val="2"/>
              <w:spacing w:line="300" w:lineRule="exact"/>
              <w:jc w:val="center"/>
              <w:rPr>
                <w:rFonts w:ascii="Times New Roman" w:hAnsi="Times New Roman"/>
                <w:sz w:val="22"/>
                <w:szCs w:val="22"/>
              </w:rPr>
            </w:pPr>
            <w:r>
              <w:rPr>
                <w:rFonts w:ascii="Times New Roman" w:hAnsi="Times New Roman"/>
                <w:sz w:val="22"/>
                <w:szCs w:val="22"/>
              </w:rPr>
              <w:t>国家</w:t>
            </w:r>
          </w:p>
          <w:p w14:paraId="51282A50">
            <w:pPr>
              <w:pStyle w:val="2"/>
              <w:spacing w:line="300" w:lineRule="exact"/>
              <w:jc w:val="center"/>
              <w:rPr>
                <w:rFonts w:ascii="Times New Roman" w:hAnsi="Times New Roman"/>
                <w:sz w:val="22"/>
                <w:szCs w:val="22"/>
              </w:rPr>
            </w:pPr>
            <w:r>
              <w:rPr>
                <w:rFonts w:ascii="Times New Roman" w:hAnsi="Times New Roman"/>
                <w:sz w:val="22"/>
                <w:szCs w:val="22"/>
              </w:rPr>
              <w:t>（地区）</w:t>
            </w:r>
          </w:p>
        </w:tc>
        <w:tc>
          <w:tcPr>
            <w:tcW w:w="710" w:type="pct"/>
            <w:vAlign w:val="center"/>
          </w:tcPr>
          <w:p w14:paraId="62695F33">
            <w:pPr>
              <w:pStyle w:val="2"/>
              <w:spacing w:line="300" w:lineRule="exact"/>
              <w:jc w:val="center"/>
              <w:rPr>
                <w:rFonts w:ascii="Times New Roman" w:hAnsi="Times New Roman"/>
                <w:sz w:val="22"/>
                <w:szCs w:val="22"/>
              </w:rPr>
            </w:pPr>
            <w:r>
              <w:rPr>
                <w:rFonts w:ascii="Times New Roman" w:hAnsi="Times New Roman"/>
                <w:sz w:val="22"/>
                <w:szCs w:val="22"/>
              </w:rPr>
              <w:t>知识产权具体名称</w:t>
            </w:r>
          </w:p>
        </w:tc>
        <w:tc>
          <w:tcPr>
            <w:tcW w:w="683" w:type="pct"/>
            <w:vAlign w:val="center"/>
          </w:tcPr>
          <w:p w14:paraId="37D838FD">
            <w:pPr>
              <w:pStyle w:val="2"/>
              <w:spacing w:line="300" w:lineRule="exact"/>
              <w:jc w:val="center"/>
              <w:rPr>
                <w:rFonts w:ascii="Times New Roman" w:hAnsi="Times New Roman"/>
                <w:sz w:val="22"/>
                <w:szCs w:val="22"/>
              </w:rPr>
            </w:pPr>
            <w:r>
              <w:rPr>
                <w:rFonts w:ascii="Times New Roman" w:hAnsi="Times New Roman"/>
                <w:sz w:val="22"/>
                <w:szCs w:val="22"/>
              </w:rPr>
              <w:t>专利号</w:t>
            </w:r>
          </w:p>
        </w:tc>
        <w:tc>
          <w:tcPr>
            <w:tcW w:w="464" w:type="pct"/>
            <w:vAlign w:val="center"/>
          </w:tcPr>
          <w:p w14:paraId="59E3BECF">
            <w:pPr>
              <w:pStyle w:val="2"/>
              <w:spacing w:line="300" w:lineRule="exact"/>
              <w:jc w:val="center"/>
              <w:rPr>
                <w:rFonts w:ascii="Times New Roman" w:hAnsi="Times New Roman"/>
                <w:sz w:val="22"/>
                <w:szCs w:val="22"/>
              </w:rPr>
            </w:pPr>
            <w:r>
              <w:rPr>
                <w:rFonts w:ascii="Times New Roman" w:hAnsi="Times New Roman"/>
                <w:sz w:val="22"/>
                <w:szCs w:val="22"/>
              </w:rPr>
              <w:t>授权公告日</w:t>
            </w:r>
          </w:p>
        </w:tc>
        <w:tc>
          <w:tcPr>
            <w:tcW w:w="572" w:type="pct"/>
            <w:vAlign w:val="center"/>
          </w:tcPr>
          <w:p w14:paraId="6F3CE66D">
            <w:pPr>
              <w:pStyle w:val="2"/>
              <w:spacing w:line="300" w:lineRule="exact"/>
              <w:jc w:val="center"/>
              <w:rPr>
                <w:rFonts w:ascii="Times New Roman" w:hAnsi="Times New Roman"/>
                <w:sz w:val="22"/>
                <w:szCs w:val="22"/>
              </w:rPr>
            </w:pPr>
            <w:r>
              <w:rPr>
                <w:rFonts w:ascii="Times New Roman" w:hAnsi="Times New Roman"/>
                <w:sz w:val="22"/>
                <w:szCs w:val="22"/>
              </w:rPr>
              <w:t>专利</w:t>
            </w:r>
          </w:p>
          <w:p w14:paraId="27E2EFEC">
            <w:pPr>
              <w:pStyle w:val="2"/>
              <w:spacing w:line="300" w:lineRule="exact"/>
              <w:jc w:val="center"/>
              <w:rPr>
                <w:rFonts w:ascii="Times New Roman" w:hAnsi="Times New Roman"/>
                <w:sz w:val="22"/>
                <w:szCs w:val="22"/>
              </w:rPr>
            </w:pPr>
            <w:r>
              <w:rPr>
                <w:rFonts w:ascii="Times New Roman" w:hAnsi="Times New Roman"/>
                <w:sz w:val="22"/>
                <w:szCs w:val="22"/>
              </w:rPr>
              <w:t>权人</w:t>
            </w:r>
          </w:p>
        </w:tc>
        <w:tc>
          <w:tcPr>
            <w:tcW w:w="522" w:type="pct"/>
            <w:vAlign w:val="center"/>
          </w:tcPr>
          <w:p w14:paraId="24A4E12E">
            <w:pPr>
              <w:pStyle w:val="2"/>
              <w:spacing w:line="300" w:lineRule="exact"/>
              <w:jc w:val="center"/>
              <w:rPr>
                <w:rFonts w:ascii="Times New Roman" w:hAnsi="Times New Roman"/>
                <w:sz w:val="22"/>
                <w:szCs w:val="22"/>
              </w:rPr>
            </w:pPr>
            <w:r>
              <w:rPr>
                <w:rFonts w:ascii="Times New Roman" w:hAnsi="Times New Roman"/>
                <w:sz w:val="22"/>
                <w:szCs w:val="22"/>
              </w:rPr>
              <w:t>全部发明人</w:t>
            </w:r>
          </w:p>
        </w:tc>
      </w:tr>
      <w:tr w14:paraId="336C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Align w:val="center"/>
          </w:tcPr>
          <w:p w14:paraId="031DBA0C">
            <w:pPr>
              <w:pStyle w:val="2"/>
              <w:spacing w:line="240" w:lineRule="exact"/>
              <w:jc w:val="center"/>
              <w:rPr>
                <w:rFonts w:ascii="Times New Roman" w:hAnsi="Times New Roman"/>
                <w:sz w:val="22"/>
                <w:szCs w:val="22"/>
              </w:rPr>
            </w:pPr>
            <w:r>
              <w:rPr>
                <w:rFonts w:ascii="Times New Roman" w:hAnsi="Times New Roman"/>
                <w:sz w:val="22"/>
                <w:szCs w:val="22"/>
              </w:rPr>
              <w:t>1</w:t>
            </w:r>
          </w:p>
        </w:tc>
        <w:tc>
          <w:tcPr>
            <w:tcW w:w="495" w:type="pct"/>
            <w:vAlign w:val="center"/>
          </w:tcPr>
          <w:p w14:paraId="1788957C">
            <w:pPr>
              <w:pStyle w:val="2"/>
              <w:spacing w:line="240" w:lineRule="exact"/>
              <w:jc w:val="center"/>
              <w:rPr>
                <w:rFonts w:ascii="Times New Roman" w:hAnsi="Times New Roman"/>
                <w:sz w:val="22"/>
                <w:szCs w:val="22"/>
              </w:rPr>
            </w:pPr>
            <w:r>
              <w:rPr>
                <w:rFonts w:hint="eastAsia" w:ascii="Times New Roman" w:hAnsi="Times New Roman"/>
                <w:sz w:val="22"/>
                <w:szCs w:val="22"/>
              </w:rPr>
              <w:t>论著</w:t>
            </w:r>
          </w:p>
        </w:tc>
        <w:tc>
          <w:tcPr>
            <w:tcW w:w="1059" w:type="pct"/>
            <w:vAlign w:val="center"/>
          </w:tcPr>
          <w:p w14:paraId="42C81D81">
            <w:pPr>
              <w:pStyle w:val="2"/>
              <w:spacing w:line="240" w:lineRule="exact"/>
              <w:jc w:val="center"/>
              <w:rPr>
                <w:rFonts w:ascii="Times New Roman" w:hAnsi="Times New Roman"/>
                <w:sz w:val="22"/>
                <w:szCs w:val="22"/>
              </w:rPr>
            </w:pPr>
            <w:r>
              <w:rPr>
                <w:rFonts w:hint="eastAsia" w:ascii="Times New Roman" w:hAnsi="Times New Roman"/>
                <w:sz w:val="22"/>
                <w:szCs w:val="22"/>
              </w:rPr>
              <w:t>美国</w:t>
            </w:r>
          </w:p>
        </w:tc>
        <w:tc>
          <w:tcPr>
            <w:tcW w:w="710" w:type="pct"/>
            <w:vAlign w:val="center"/>
          </w:tcPr>
          <w:p w14:paraId="4119C8AF">
            <w:pPr>
              <w:pStyle w:val="2"/>
              <w:spacing w:line="240" w:lineRule="exact"/>
              <w:jc w:val="center"/>
              <w:rPr>
                <w:rFonts w:ascii="Times New Roman" w:hAnsi="Times New Roman"/>
                <w:sz w:val="22"/>
                <w:szCs w:val="22"/>
              </w:rPr>
            </w:pPr>
            <w:r>
              <w:rPr>
                <w:rFonts w:ascii="Times New Roman" w:hAnsi="Times New Roman"/>
                <w:sz w:val="22"/>
                <w:szCs w:val="22"/>
              </w:rPr>
              <w:t>Molecular Diagnostics of Pediatric Cancer</w:t>
            </w:r>
          </w:p>
        </w:tc>
        <w:tc>
          <w:tcPr>
            <w:tcW w:w="683" w:type="pct"/>
            <w:vAlign w:val="center"/>
          </w:tcPr>
          <w:p w14:paraId="36F19A55">
            <w:pPr>
              <w:pStyle w:val="2"/>
              <w:spacing w:line="240" w:lineRule="exact"/>
              <w:jc w:val="center"/>
              <w:rPr>
                <w:rFonts w:ascii="Times New Roman" w:hAnsi="Times New Roman"/>
                <w:sz w:val="22"/>
                <w:szCs w:val="22"/>
              </w:rPr>
            </w:pPr>
            <w:r>
              <w:rPr>
                <w:rFonts w:hint="eastAsia" w:ascii="Times New Roman" w:hAnsi="Times New Roman"/>
                <w:sz w:val="22"/>
                <w:szCs w:val="22"/>
              </w:rPr>
              <w:t>ISSN</w:t>
            </w:r>
            <w:r>
              <w:rPr>
                <w:rFonts w:ascii="Times New Roman" w:hAnsi="Times New Roman"/>
                <w:sz w:val="22"/>
                <w:szCs w:val="22"/>
              </w:rPr>
              <w:t>1664-8714</w:t>
            </w:r>
          </w:p>
        </w:tc>
        <w:tc>
          <w:tcPr>
            <w:tcW w:w="464" w:type="pct"/>
            <w:vAlign w:val="center"/>
          </w:tcPr>
          <w:p w14:paraId="4CB84B18">
            <w:pPr>
              <w:pStyle w:val="2"/>
              <w:spacing w:line="240" w:lineRule="exact"/>
              <w:jc w:val="center"/>
              <w:rPr>
                <w:rFonts w:ascii="Times New Roman" w:hAnsi="Times New Roman"/>
                <w:sz w:val="22"/>
                <w:szCs w:val="22"/>
              </w:rPr>
            </w:pPr>
            <w:r>
              <w:rPr>
                <w:rFonts w:hint="eastAsia" w:ascii="Times New Roman" w:hAnsi="Times New Roman"/>
                <w:sz w:val="22"/>
                <w:szCs w:val="22"/>
              </w:rPr>
              <w:t>2021年10月11日</w:t>
            </w:r>
          </w:p>
        </w:tc>
        <w:tc>
          <w:tcPr>
            <w:tcW w:w="572" w:type="pct"/>
            <w:vAlign w:val="center"/>
          </w:tcPr>
          <w:p w14:paraId="2B994AA5">
            <w:pPr>
              <w:pStyle w:val="2"/>
              <w:spacing w:line="240" w:lineRule="exact"/>
              <w:jc w:val="center"/>
              <w:rPr>
                <w:rFonts w:ascii="Times New Roman" w:hAnsi="Times New Roman"/>
                <w:sz w:val="22"/>
                <w:szCs w:val="22"/>
              </w:rPr>
            </w:pPr>
            <w:r>
              <w:rPr>
                <w:rFonts w:hint="eastAsia" w:ascii="Times New Roman" w:hAnsi="Times New Roman"/>
                <w:sz w:val="22"/>
                <w:szCs w:val="22"/>
              </w:rPr>
              <w:t>出版社：</w:t>
            </w:r>
            <w:r>
              <w:rPr>
                <w:rFonts w:ascii="Times New Roman" w:hAnsi="Times New Roman"/>
                <w:sz w:val="22"/>
                <w:szCs w:val="22"/>
              </w:rPr>
              <w:t>Frontiers Media SA</w:t>
            </w:r>
          </w:p>
        </w:tc>
        <w:tc>
          <w:tcPr>
            <w:tcW w:w="522" w:type="pct"/>
            <w:vAlign w:val="center"/>
          </w:tcPr>
          <w:p w14:paraId="7736DA40">
            <w:pPr>
              <w:pStyle w:val="2"/>
              <w:spacing w:line="240" w:lineRule="exact"/>
              <w:jc w:val="center"/>
              <w:rPr>
                <w:rFonts w:ascii="Times New Roman" w:hAnsi="Times New Roman"/>
                <w:sz w:val="22"/>
                <w:szCs w:val="22"/>
              </w:rPr>
            </w:pPr>
            <w:r>
              <w:rPr>
                <w:rFonts w:hint="eastAsia" w:ascii="Times New Roman" w:hAnsi="Times New Roman"/>
                <w:sz w:val="22"/>
                <w:szCs w:val="22"/>
              </w:rPr>
              <w:t>贺静，张翼鷟，朱锦红，谭华，Jochen Rössler</w:t>
            </w:r>
          </w:p>
        </w:tc>
      </w:tr>
      <w:tr w14:paraId="1C80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Align w:val="center"/>
          </w:tcPr>
          <w:p w14:paraId="534C399F">
            <w:pPr>
              <w:pStyle w:val="2"/>
              <w:spacing w:line="240" w:lineRule="exact"/>
              <w:jc w:val="center"/>
              <w:rPr>
                <w:rFonts w:ascii="Times New Roman" w:hAnsi="Times New Roman"/>
                <w:sz w:val="22"/>
                <w:szCs w:val="22"/>
              </w:rPr>
            </w:pPr>
            <w:r>
              <w:rPr>
                <w:rFonts w:ascii="Times New Roman" w:hAnsi="Times New Roman"/>
                <w:sz w:val="22"/>
                <w:szCs w:val="22"/>
              </w:rPr>
              <w:t>2</w:t>
            </w:r>
          </w:p>
        </w:tc>
        <w:tc>
          <w:tcPr>
            <w:tcW w:w="495" w:type="pct"/>
            <w:vAlign w:val="center"/>
          </w:tcPr>
          <w:p w14:paraId="06CDE428">
            <w:pPr>
              <w:pStyle w:val="2"/>
              <w:spacing w:line="240" w:lineRule="exact"/>
              <w:jc w:val="center"/>
              <w:rPr>
                <w:rFonts w:ascii="Times New Roman" w:hAnsi="Times New Roman"/>
                <w:sz w:val="22"/>
                <w:szCs w:val="22"/>
              </w:rPr>
            </w:pPr>
            <w:r>
              <w:rPr>
                <w:rFonts w:hint="eastAsia" w:ascii="Times New Roman" w:hAnsi="Times New Roman"/>
                <w:sz w:val="22"/>
                <w:szCs w:val="22"/>
              </w:rPr>
              <w:t>论著</w:t>
            </w:r>
          </w:p>
        </w:tc>
        <w:tc>
          <w:tcPr>
            <w:tcW w:w="1059" w:type="pct"/>
            <w:vAlign w:val="center"/>
          </w:tcPr>
          <w:p w14:paraId="35108E7F">
            <w:pPr>
              <w:pStyle w:val="2"/>
              <w:spacing w:line="240" w:lineRule="exact"/>
              <w:jc w:val="center"/>
              <w:rPr>
                <w:rFonts w:ascii="Times New Roman" w:hAnsi="Times New Roman"/>
                <w:sz w:val="22"/>
                <w:szCs w:val="22"/>
              </w:rPr>
            </w:pPr>
            <w:r>
              <w:rPr>
                <w:rFonts w:hint="eastAsia" w:ascii="Times New Roman" w:hAnsi="Times New Roman"/>
                <w:sz w:val="22"/>
                <w:szCs w:val="22"/>
              </w:rPr>
              <w:t>美国</w:t>
            </w:r>
          </w:p>
        </w:tc>
        <w:tc>
          <w:tcPr>
            <w:tcW w:w="710" w:type="pct"/>
            <w:vAlign w:val="center"/>
          </w:tcPr>
          <w:p w14:paraId="73FB1456">
            <w:pPr>
              <w:pStyle w:val="2"/>
              <w:spacing w:line="240" w:lineRule="exact"/>
              <w:jc w:val="center"/>
              <w:rPr>
                <w:rFonts w:ascii="Times New Roman" w:hAnsi="Times New Roman"/>
                <w:sz w:val="22"/>
                <w:szCs w:val="22"/>
              </w:rPr>
            </w:pPr>
            <w:r>
              <w:rPr>
                <w:rFonts w:ascii="Times New Roman" w:hAnsi="Times New Roman"/>
                <w:sz w:val="22"/>
                <w:szCs w:val="22"/>
              </w:rPr>
              <w:t>Molecular diagnostics of pediatric cancer, volume II</w:t>
            </w:r>
          </w:p>
        </w:tc>
        <w:tc>
          <w:tcPr>
            <w:tcW w:w="683" w:type="pct"/>
            <w:vAlign w:val="center"/>
          </w:tcPr>
          <w:p w14:paraId="2B46F729">
            <w:pPr>
              <w:pStyle w:val="2"/>
              <w:spacing w:line="240" w:lineRule="exact"/>
              <w:jc w:val="center"/>
              <w:rPr>
                <w:rFonts w:ascii="Times New Roman" w:hAnsi="Times New Roman"/>
                <w:sz w:val="22"/>
                <w:szCs w:val="22"/>
              </w:rPr>
            </w:pPr>
            <w:r>
              <w:rPr>
                <w:rFonts w:hint="eastAsia" w:ascii="Times New Roman" w:hAnsi="Times New Roman"/>
                <w:sz w:val="22"/>
                <w:szCs w:val="22"/>
              </w:rPr>
              <w:t>ISSN</w:t>
            </w:r>
            <w:r>
              <w:rPr>
                <w:rFonts w:ascii="Times New Roman" w:hAnsi="Times New Roman"/>
                <w:sz w:val="22"/>
                <w:szCs w:val="22"/>
              </w:rPr>
              <w:t>1664-8714</w:t>
            </w:r>
          </w:p>
        </w:tc>
        <w:tc>
          <w:tcPr>
            <w:tcW w:w="464" w:type="pct"/>
            <w:vAlign w:val="center"/>
          </w:tcPr>
          <w:p w14:paraId="7E5B3DEC">
            <w:pPr>
              <w:pStyle w:val="2"/>
              <w:spacing w:line="240" w:lineRule="exact"/>
              <w:jc w:val="center"/>
              <w:rPr>
                <w:rFonts w:ascii="Times New Roman" w:hAnsi="Times New Roman"/>
                <w:sz w:val="22"/>
                <w:szCs w:val="22"/>
              </w:rPr>
            </w:pPr>
            <w:r>
              <w:rPr>
                <w:rFonts w:hint="eastAsia" w:ascii="Times New Roman" w:hAnsi="Times New Roman"/>
                <w:sz w:val="22"/>
                <w:szCs w:val="22"/>
              </w:rPr>
              <w:t>2024年9月27日</w:t>
            </w:r>
          </w:p>
        </w:tc>
        <w:tc>
          <w:tcPr>
            <w:tcW w:w="572" w:type="pct"/>
            <w:vAlign w:val="center"/>
          </w:tcPr>
          <w:p w14:paraId="40D157C5">
            <w:pPr>
              <w:pStyle w:val="2"/>
              <w:spacing w:line="240" w:lineRule="exact"/>
              <w:jc w:val="center"/>
              <w:rPr>
                <w:rFonts w:ascii="Times New Roman" w:hAnsi="Times New Roman"/>
                <w:sz w:val="22"/>
                <w:szCs w:val="22"/>
              </w:rPr>
            </w:pPr>
            <w:r>
              <w:rPr>
                <w:rFonts w:hint="eastAsia" w:ascii="Times New Roman" w:hAnsi="Times New Roman"/>
                <w:sz w:val="22"/>
                <w:szCs w:val="22"/>
              </w:rPr>
              <w:t>出版社：</w:t>
            </w:r>
            <w:r>
              <w:rPr>
                <w:rFonts w:ascii="Times New Roman" w:hAnsi="Times New Roman"/>
                <w:sz w:val="22"/>
                <w:szCs w:val="22"/>
              </w:rPr>
              <w:t>Frontiers Media SA</w:t>
            </w:r>
          </w:p>
        </w:tc>
        <w:tc>
          <w:tcPr>
            <w:tcW w:w="522" w:type="pct"/>
            <w:vAlign w:val="center"/>
          </w:tcPr>
          <w:p w14:paraId="674D799C">
            <w:pPr>
              <w:pStyle w:val="2"/>
              <w:spacing w:line="240" w:lineRule="exact"/>
              <w:jc w:val="center"/>
              <w:rPr>
                <w:rFonts w:ascii="Times New Roman" w:hAnsi="Times New Roman"/>
                <w:sz w:val="22"/>
                <w:szCs w:val="22"/>
              </w:rPr>
            </w:pPr>
            <w:r>
              <w:rPr>
                <w:rFonts w:hint="eastAsia" w:ascii="Times New Roman" w:hAnsi="Times New Roman"/>
                <w:sz w:val="22"/>
                <w:szCs w:val="22"/>
              </w:rPr>
              <w:t>贺静，张翼鷟，谭华，Jochen Rössler, 朱锦红</w:t>
            </w:r>
          </w:p>
        </w:tc>
      </w:tr>
    </w:tbl>
    <w:p w14:paraId="4991D174">
      <w:pPr>
        <w:jc w:val="center"/>
        <w:rPr>
          <w:rFonts w:ascii="Times New Roman" w:hAnsi="Times New Roman" w:eastAsia="黑体"/>
          <w:position w:val="-3"/>
          <w:sz w:val="28"/>
          <w:szCs w:val="28"/>
        </w:rPr>
      </w:pPr>
      <w:r>
        <w:rPr>
          <w:rFonts w:hint="eastAsia" w:ascii="Times New Roman" w:hAnsi="Times New Roman" w:eastAsia="黑体"/>
          <w:position w:val="-3"/>
          <w:sz w:val="28"/>
          <w:szCs w:val="28"/>
        </w:rPr>
        <w:t>七、</w:t>
      </w:r>
      <w:r>
        <w:rPr>
          <w:rFonts w:ascii="Times New Roman" w:hAnsi="Times New Roman" w:eastAsia="黑体"/>
          <w:position w:val="-3"/>
          <w:sz w:val="28"/>
          <w:szCs w:val="28"/>
        </w:rPr>
        <w:t>科研基金、计划目录（限10项）</w:t>
      </w:r>
    </w:p>
    <w:tbl>
      <w:tblPr>
        <w:tblStyle w:val="6"/>
        <w:tblW w:w="5000" w:type="pct"/>
        <w:jc w:val="center"/>
        <w:tblLayout w:type="autofit"/>
        <w:tblCellMar>
          <w:top w:w="0" w:type="dxa"/>
          <w:left w:w="0" w:type="dxa"/>
          <w:bottom w:w="0" w:type="dxa"/>
          <w:right w:w="0" w:type="dxa"/>
        </w:tblCellMar>
      </w:tblPr>
      <w:tblGrid>
        <w:gridCol w:w="554"/>
        <w:gridCol w:w="1733"/>
        <w:gridCol w:w="1709"/>
        <w:gridCol w:w="1978"/>
        <w:gridCol w:w="1147"/>
        <w:gridCol w:w="823"/>
        <w:gridCol w:w="911"/>
      </w:tblGrid>
      <w:tr w14:paraId="5CB065AF">
        <w:tblPrEx>
          <w:tblCellMar>
            <w:top w:w="0" w:type="dxa"/>
            <w:left w:w="0" w:type="dxa"/>
            <w:bottom w:w="0" w:type="dxa"/>
            <w:right w:w="0" w:type="dxa"/>
          </w:tblCellMar>
        </w:tblPrEx>
        <w:trPr>
          <w:trHeight w:val="544" w:hRule="atLeast"/>
          <w:jc w:val="center"/>
        </w:trPr>
        <w:tc>
          <w:tcPr>
            <w:tcW w:w="338" w:type="pct"/>
            <w:tcBorders>
              <w:top w:val="single" w:color="000000" w:sz="4" w:space="0"/>
              <w:left w:val="single" w:color="000000" w:sz="4" w:space="0"/>
              <w:bottom w:val="single" w:color="000000" w:sz="4" w:space="0"/>
              <w:right w:val="single" w:color="000000" w:sz="4" w:space="0"/>
            </w:tcBorders>
            <w:vAlign w:val="center"/>
          </w:tcPr>
          <w:p w14:paraId="7342E70D">
            <w:pPr>
              <w:jc w:val="center"/>
              <w:rPr>
                <w:rFonts w:ascii="Times New Roman" w:hAnsi="Times New Roman"/>
                <w:sz w:val="22"/>
                <w:szCs w:val="22"/>
              </w:rPr>
            </w:pPr>
            <w:r>
              <w:rPr>
                <w:rFonts w:ascii="Times New Roman" w:hAnsi="Times New Roman"/>
                <w:sz w:val="22"/>
                <w:szCs w:val="22"/>
              </w:rPr>
              <w:t>序号</w:t>
            </w:r>
          </w:p>
        </w:tc>
        <w:tc>
          <w:tcPr>
            <w:tcW w:w="1004" w:type="pct"/>
            <w:tcBorders>
              <w:top w:val="single" w:color="000000" w:sz="4" w:space="0"/>
              <w:left w:val="single" w:color="000000" w:sz="4" w:space="0"/>
              <w:bottom w:val="single" w:color="000000" w:sz="4" w:space="0"/>
              <w:right w:val="single" w:color="000000" w:sz="4" w:space="0"/>
            </w:tcBorders>
            <w:vAlign w:val="center"/>
          </w:tcPr>
          <w:p w14:paraId="7A41DE73">
            <w:pPr>
              <w:jc w:val="center"/>
              <w:rPr>
                <w:rFonts w:ascii="Times New Roman" w:hAnsi="Times New Roman"/>
                <w:sz w:val="22"/>
                <w:szCs w:val="22"/>
              </w:rPr>
            </w:pPr>
            <w:r>
              <w:rPr>
                <w:rFonts w:ascii="Times New Roman" w:hAnsi="Times New Roman"/>
                <w:sz w:val="22"/>
                <w:szCs w:val="22"/>
              </w:rPr>
              <w:t>基金、计划类别</w:t>
            </w:r>
          </w:p>
        </w:tc>
        <w:tc>
          <w:tcPr>
            <w:tcW w:w="967" w:type="pct"/>
            <w:tcBorders>
              <w:top w:val="single" w:color="000000" w:sz="4" w:space="0"/>
              <w:left w:val="single" w:color="000000" w:sz="4" w:space="0"/>
              <w:bottom w:val="single" w:color="000000" w:sz="4" w:space="0"/>
              <w:right w:val="single" w:color="000000" w:sz="4" w:space="0"/>
            </w:tcBorders>
            <w:vAlign w:val="center"/>
          </w:tcPr>
          <w:p w14:paraId="5DC4C92C">
            <w:pPr>
              <w:jc w:val="center"/>
              <w:rPr>
                <w:rFonts w:ascii="Times New Roman" w:hAnsi="Times New Roman"/>
                <w:sz w:val="22"/>
                <w:szCs w:val="22"/>
              </w:rPr>
            </w:pPr>
            <w:r>
              <w:rPr>
                <w:rFonts w:ascii="Times New Roman" w:hAnsi="Times New Roman"/>
                <w:sz w:val="22"/>
                <w:szCs w:val="22"/>
              </w:rPr>
              <w:t>编号</w:t>
            </w:r>
          </w:p>
        </w:tc>
        <w:tc>
          <w:tcPr>
            <w:tcW w:w="966" w:type="pct"/>
            <w:tcBorders>
              <w:top w:val="single" w:color="000000" w:sz="4" w:space="0"/>
              <w:left w:val="single" w:color="000000" w:sz="4" w:space="0"/>
              <w:bottom w:val="single" w:color="000000" w:sz="4" w:space="0"/>
              <w:right w:val="single" w:color="000000" w:sz="4" w:space="0"/>
            </w:tcBorders>
            <w:vAlign w:val="center"/>
          </w:tcPr>
          <w:p w14:paraId="47E9C0F6">
            <w:pPr>
              <w:jc w:val="center"/>
              <w:rPr>
                <w:rFonts w:ascii="Times New Roman" w:hAnsi="Times New Roman"/>
                <w:sz w:val="22"/>
                <w:szCs w:val="22"/>
              </w:rPr>
            </w:pPr>
            <w:r>
              <w:rPr>
                <w:rFonts w:ascii="Times New Roman" w:hAnsi="Times New Roman"/>
                <w:sz w:val="22"/>
                <w:szCs w:val="22"/>
              </w:rPr>
              <w:t>项目名称</w:t>
            </w:r>
          </w:p>
        </w:tc>
        <w:tc>
          <w:tcPr>
            <w:tcW w:w="696" w:type="pct"/>
            <w:tcBorders>
              <w:top w:val="single" w:color="000000" w:sz="4" w:space="0"/>
              <w:left w:val="single" w:color="000000" w:sz="4" w:space="0"/>
              <w:bottom w:val="single" w:color="000000" w:sz="4" w:space="0"/>
              <w:right w:val="single" w:color="000000" w:sz="4" w:space="0"/>
            </w:tcBorders>
            <w:vAlign w:val="center"/>
          </w:tcPr>
          <w:p w14:paraId="13DE97E9">
            <w:pPr>
              <w:jc w:val="center"/>
              <w:rPr>
                <w:rFonts w:ascii="Times New Roman" w:hAnsi="Times New Roman"/>
                <w:sz w:val="22"/>
                <w:szCs w:val="22"/>
              </w:rPr>
            </w:pPr>
            <w:r>
              <w:rPr>
                <w:rFonts w:ascii="Times New Roman" w:hAnsi="Times New Roman"/>
                <w:sz w:val="22"/>
                <w:szCs w:val="22"/>
              </w:rPr>
              <w:t>承担单位</w:t>
            </w:r>
          </w:p>
        </w:tc>
        <w:tc>
          <w:tcPr>
            <w:tcW w:w="490" w:type="pct"/>
            <w:tcBorders>
              <w:top w:val="single" w:color="000000" w:sz="4" w:space="0"/>
              <w:left w:val="single" w:color="000000" w:sz="4" w:space="0"/>
              <w:bottom w:val="single" w:color="000000" w:sz="4" w:space="0"/>
              <w:right w:val="single" w:color="000000" w:sz="4" w:space="0"/>
            </w:tcBorders>
            <w:vAlign w:val="center"/>
          </w:tcPr>
          <w:p w14:paraId="31115E26">
            <w:pPr>
              <w:jc w:val="center"/>
              <w:rPr>
                <w:rFonts w:ascii="Times New Roman" w:hAnsi="Times New Roman"/>
                <w:sz w:val="22"/>
                <w:szCs w:val="22"/>
              </w:rPr>
            </w:pPr>
            <w:r>
              <w:rPr>
                <w:rFonts w:ascii="Times New Roman" w:hAnsi="Times New Roman"/>
                <w:sz w:val="22"/>
                <w:szCs w:val="22"/>
              </w:rPr>
              <w:t>负责人</w:t>
            </w:r>
          </w:p>
        </w:tc>
        <w:tc>
          <w:tcPr>
            <w:tcW w:w="540" w:type="pct"/>
            <w:tcBorders>
              <w:top w:val="single" w:color="000000" w:sz="4" w:space="0"/>
              <w:left w:val="single" w:color="000000" w:sz="4" w:space="0"/>
              <w:bottom w:val="single" w:color="000000" w:sz="4" w:space="0"/>
              <w:right w:val="single" w:color="000000" w:sz="4" w:space="0"/>
            </w:tcBorders>
            <w:vAlign w:val="center"/>
          </w:tcPr>
          <w:p w14:paraId="30FC78B0">
            <w:pPr>
              <w:jc w:val="center"/>
              <w:rPr>
                <w:rFonts w:ascii="Times New Roman" w:hAnsi="Times New Roman"/>
                <w:sz w:val="22"/>
                <w:szCs w:val="22"/>
              </w:rPr>
            </w:pPr>
            <w:r>
              <w:rPr>
                <w:rFonts w:ascii="Times New Roman" w:hAnsi="Times New Roman"/>
                <w:sz w:val="22"/>
                <w:szCs w:val="22"/>
              </w:rPr>
              <w:t>执行时间</w:t>
            </w:r>
          </w:p>
        </w:tc>
      </w:tr>
      <w:tr w14:paraId="183713F8">
        <w:tblPrEx>
          <w:tblCellMar>
            <w:top w:w="0" w:type="dxa"/>
            <w:left w:w="0" w:type="dxa"/>
            <w:bottom w:w="0" w:type="dxa"/>
            <w:right w:w="0" w:type="dxa"/>
          </w:tblCellMar>
        </w:tblPrEx>
        <w:trPr>
          <w:trHeight w:val="544" w:hRule="atLeast"/>
          <w:jc w:val="center"/>
        </w:trPr>
        <w:tc>
          <w:tcPr>
            <w:tcW w:w="338" w:type="pct"/>
            <w:tcBorders>
              <w:top w:val="single" w:color="000000" w:sz="4" w:space="0"/>
              <w:left w:val="single" w:color="000000" w:sz="4" w:space="0"/>
              <w:bottom w:val="single" w:color="000000" w:sz="4" w:space="0"/>
              <w:right w:val="single" w:color="000000" w:sz="4" w:space="0"/>
            </w:tcBorders>
            <w:vAlign w:val="center"/>
          </w:tcPr>
          <w:p w14:paraId="18DF9B34">
            <w:pPr>
              <w:spacing w:line="240" w:lineRule="exact"/>
              <w:jc w:val="center"/>
              <w:rPr>
                <w:rFonts w:ascii="Times New Roman" w:hAnsi="Times New Roman"/>
                <w:sz w:val="22"/>
                <w:szCs w:val="22"/>
              </w:rPr>
            </w:pPr>
            <w:r>
              <w:rPr>
                <w:rFonts w:ascii="Times New Roman" w:hAnsi="Times New Roman"/>
                <w:sz w:val="22"/>
                <w:szCs w:val="22"/>
              </w:rPr>
              <w:t>1</w:t>
            </w:r>
          </w:p>
        </w:tc>
        <w:tc>
          <w:tcPr>
            <w:tcW w:w="1004" w:type="pct"/>
            <w:tcBorders>
              <w:top w:val="single" w:color="000000" w:sz="4" w:space="0"/>
              <w:left w:val="single" w:color="000000" w:sz="4" w:space="0"/>
              <w:bottom w:val="single" w:color="000000" w:sz="4" w:space="0"/>
              <w:right w:val="single" w:color="000000" w:sz="4" w:space="0"/>
            </w:tcBorders>
            <w:vAlign w:val="center"/>
          </w:tcPr>
          <w:p w14:paraId="1518116C">
            <w:pPr>
              <w:spacing w:line="240" w:lineRule="exact"/>
              <w:jc w:val="center"/>
              <w:rPr>
                <w:rFonts w:ascii="Times New Roman" w:hAnsi="Times New Roman"/>
                <w:sz w:val="22"/>
                <w:szCs w:val="22"/>
              </w:rPr>
            </w:pPr>
            <w:r>
              <w:rPr>
                <w:rFonts w:hint="eastAsia" w:ascii="Times New Roman" w:hAnsi="Times New Roman"/>
                <w:sz w:val="22"/>
                <w:szCs w:val="22"/>
              </w:rPr>
              <w:t>广东省自然科学基金面上项目</w:t>
            </w:r>
          </w:p>
        </w:tc>
        <w:tc>
          <w:tcPr>
            <w:tcW w:w="967" w:type="pct"/>
            <w:tcBorders>
              <w:top w:val="single" w:color="000000" w:sz="4" w:space="0"/>
              <w:left w:val="single" w:color="000000" w:sz="4" w:space="0"/>
              <w:bottom w:val="single" w:color="000000" w:sz="4" w:space="0"/>
              <w:right w:val="single" w:color="000000" w:sz="4" w:space="0"/>
            </w:tcBorders>
            <w:vAlign w:val="center"/>
          </w:tcPr>
          <w:p w14:paraId="1CE63B31">
            <w:pPr>
              <w:spacing w:line="240" w:lineRule="exact"/>
              <w:jc w:val="center"/>
              <w:rPr>
                <w:rFonts w:ascii="Times New Roman" w:hAnsi="Times New Roman"/>
                <w:sz w:val="22"/>
                <w:szCs w:val="22"/>
              </w:rPr>
            </w:pPr>
            <w:r>
              <w:rPr>
                <w:rFonts w:ascii="Times New Roman" w:hAnsi="Times New Roman"/>
                <w:sz w:val="22"/>
                <w:szCs w:val="22"/>
              </w:rPr>
              <w:t>2019A1515010360</w:t>
            </w:r>
          </w:p>
        </w:tc>
        <w:tc>
          <w:tcPr>
            <w:tcW w:w="966" w:type="pct"/>
            <w:tcBorders>
              <w:top w:val="single" w:color="000000" w:sz="4" w:space="0"/>
              <w:left w:val="single" w:color="000000" w:sz="4" w:space="0"/>
              <w:bottom w:val="single" w:color="000000" w:sz="4" w:space="0"/>
              <w:right w:val="single" w:color="000000" w:sz="4" w:space="0"/>
            </w:tcBorders>
            <w:vAlign w:val="center"/>
          </w:tcPr>
          <w:p w14:paraId="3A2A12E7">
            <w:pPr>
              <w:spacing w:line="240" w:lineRule="exact"/>
              <w:jc w:val="center"/>
              <w:rPr>
                <w:rFonts w:ascii="Times New Roman" w:hAnsi="Times New Roman"/>
                <w:sz w:val="22"/>
                <w:szCs w:val="22"/>
              </w:rPr>
            </w:pPr>
            <w:r>
              <w:rPr>
                <w:rFonts w:hint="eastAsia" w:ascii="Times New Roman" w:hAnsi="Times New Roman"/>
                <w:sz w:val="22"/>
                <w:szCs w:val="22"/>
              </w:rPr>
              <w:t>6A通路核心基因遗传变异与神经母细胞瘤发病风险的关联及机制研究</w:t>
            </w:r>
          </w:p>
        </w:tc>
        <w:tc>
          <w:tcPr>
            <w:tcW w:w="696" w:type="pct"/>
            <w:tcBorders>
              <w:top w:val="single" w:color="000000" w:sz="4" w:space="0"/>
              <w:left w:val="single" w:color="000000" w:sz="4" w:space="0"/>
              <w:bottom w:val="single" w:color="000000" w:sz="4" w:space="0"/>
              <w:right w:val="single" w:color="000000" w:sz="4" w:space="0"/>
            </w:tcBorders>
            <w:vAlign w:val="center"/>
          </w:tcPr>
          <w:p w14:paraId="5D1A3B3A">
            <w:pPr>
              <w:spacing w:line="240" w:lineRule="exact"/>
              <w:jc w:val="center"/>
              <w:rPr>
                <w:rFonts w:ascii="Times New Roman" w:hAnsi="Times New Roman"/>
                <w:sz w:val="22"/>
                <w:szCs w:val="22"/>
              </w:rPr>
            </w:pPr>
            <w:r>
              <w:rPr>
                <w:rFonts w:hint="eastAsia" w:ascii="Times New Roman" w:hAnsi="Times New Roman"/>
                <w:sz w:val="22"/>
                <w:szCs w:val="22"/>
              </w:rPr>
              <w:t>广州医科大学附属妇女儿童医疗中心</w:t>
            </w:r>
          </w:p>
        </w:tc>
        <w:tc>
          <w:tcPr>
            <w:tcW w:w="490" w:type="pct"/>
            <w:tcBorders>
              <w:top w:val="single" w:color="000000" w:sz="4" w:space="0"/>
              <w:left w:val="single" w:color="000000" w:sz="4" w:space="0"/>
              <w:bottom w:val="single" w:color="000000" w:sz="4" w:space="0"/>
              <w:right w:val="single" w:color="000000" w:sz="4" w:space="0"/>
            </w:tcBorders>
            <w:vAlign w:val="center"/>
          </w:tcPr>
          <w:p w14:paraId="63D80E7F">
            <w:pPr>
              <w:spacing w:line="240" w:lineRule="exact"/>
              <w:jc w:val="center"/>
              <w:rPr>
                <w:rFonts w:ascii="Times New Roman" w:hAnsi="Times New Roman"/>
                <w:sz w:val="22"/>
                <w:szCs w:val="22"/>
              </w:rPr>
            </w:pPr>
            <w:r>
              <w:rPr>
                <w:rFonts w:hint="eastAsia" w:ascii="Times New Roman" w:hAnsi="Times New Roman"/>
                <w:sz w:val="22"/>
                <w:szCs w:val="22"/>
              </w:rPr>
              <w:t>贺静</w:t>
            </w:r>
          </w:p>
        </w:tc>
        <w:tc>
          <w:tcPr>
            <w:tcW w:w="540" w:type="pct"/>
            <w:tcBorders>
              <w:top w:val="single" w:color="000000" w:sz="4" w:space="0"/>
              <w:left w:val="single" w:color="000000" w:sz="4" w:space="0"/>
              <w:bottom w:val="single" w:color="000000" w:sz="4" w:space="0"/>
              <w:right w:val="single" w:color="000000" w:sz="4" w:space="0"/>
            </w:tcBorders>
            <w:vAlign w:val="center"/>
          </w:tcPr>
          <w:p w14:paraId="45873FEA">
            <w:pPr>
              <w:spacing w:line="240" w:lineRule="exact"/>
              <w:jc w:val="center"/>
              <w:rPr>
                <w:rFonts w:ascii="Times New Roman" w:hAnsi="Times New Roman"/>
                <w:sz w:val="22"/>
                <w:szCs w:val="22"/>
              </w:rPr>
            </w:pPr>
            <w:r>
              <w:rPr>
                <w:rFonts w:hint="eastAsia" w:ascii="Times New Roman" w:hAnsi="Times New Roman"/>
                <w:sz w:val="22"/>
                <w:szCs w:val="22"/>
              </w:rPr>
              <w:t>2019年10月1日- 2022年9月30日</w:t>
            </w:r>
          </w:p>
        </w:tc>
      </w:tr>
      <w:tr w14:paraId="4DB2641D">
        <w:tblPrEx>
          <w:tblCellMar>
            <w:top w:w="0" w:type="dxa"/>
            <w:left w:w="0" w:type="dxa"/>
            <w:bottom w:w="0" w:type="dxa"/>
            <w:right w:w="0" w:type="dxa"/>
          </w:tblCellMar>
        </w:tblPrEx>
        <w:trPr>
          <w:trHeight w:val="544" w:hRule="atLeast"/>
          <w:jc w:val="center"/>
        </w:trPr>
        <w:tc>
          <w:tcPr>
            <w:tcW w:w="338" w:type="pct"/>
            <w:tcBorders>
              <w:top w:val="single" w:color="000000" w:sz="4" w:space="0"/>
              <w:left w:val="single" w:color="000000" w:sz="4" w:space="0"/>
              <w:bottom w:val="single" w:color="000000" w:sz="4" w:space="0"/>
              <w:right w:val="single" w:color="000000" w:sz="4" w:space="0"/>
            </w:tcBorders>
            <w:vAlign w:val="center"/>
          </w:tcPr>
          <w:p w14:paraId="18FB014A">
            <w:pPr>
              <w:spacing w:line="240" w:lineRule="exact"/>
              <w:jc w:val="center"/>
              <w:rPr>
                <w:rFonts w:ascii="Times New Roman" w:hAnsi="Times New Roman"/>
                <w:sz w:val="22"/>
                <w:szCs w:val="22"/>
              </w:rPr>
            </w:pPr>
            <w:r>
              <w:rPr>
                <w:rFonts w:ascii="Times New Roman" w:hAnsi="Times New Roman"/>
                <w:sz w:val="22"/>
                <w:szCs w:val="22"/>
              </w:rPr>
              <w:t>2</w:t>
            </w:r>
          </w:p>
        </w:tc>
        <w:tc>
          <w:tcPr>
            <w:tcW w:w="1004" w:type="pct"/>
            <w:tcBorders>
              <w:top w:val="single" w:color="000000" w:sz="4" w:space="0"/>
              <w:left w:val="single" w:color="000000" w:sz="4" w:space="0"/>
              <w:bottom w:val="single" w:color="000000" w:sz="4" w:space="0"/>
              <w:right w:val="single" w:color="000000" w:sz="4" w:space="0"/>
            </w:tcBorders>
            <w:vAlign w:val="center"/>
          </w:tcPr>
          <w:p w14:paraId="720D17AD">
            <w:pPr>
              <w:spacing w:line="240" w:lineRule="exact"/>
              <w:jc w:val="center"/>
              <w:rPr>
                <w:rFonts w:ascii="Times New Roman" w:hAnsi="Times New Roman"/>
                <w:sz w:val="22"/>
                <w:szCs w:val="22"/>
              </w:rPr>
            </w:pPr>
            <w:r>
              <w:rPr>
                <w:rFonts w:hint="eastAsia" w:ascii="Times New Roman" w:hAnsi="Times New Roman"/>
                <w:sz w:val="22"/>
                <w:szCs w:val="22"/>
              </w:rPr>
              <w:t>湖南省科技厅创新引导项目</w:t>
            </w:r>
          </w:p>
        </w:tc>
        <w:tc>
          <w:tcPr>
            <w:tcW w:w="967" w:type="pct"/>
            <w:tcBorders>
              <w:top w:val="single" w:color="000000" w:sz="4" w:space="0"/>
              <w:left w:val="single" w:color="000000" w:sz="4" w:space="0"/>
              <w:bottom w:val="single" w:color="000000" w:sz="4" w:space="0"/>
              <w:right w:val="single" w:color="000000" w:sz="4" w:space="0"/>
            </w:tcBorders>
            <w:vAlign w:val="center"/>
          </w:tcPr>
          <w:p w14:paraId="31C474E0">
            <w:pPr>
              <w:spacing w:line="240" w:lineRule="exact"/>
              <w:jc w:val="center"/>
              <w:rPr>
                <w:rFonts w:ascii="Times New Roman" w:hAnsi="Times New Roman"/>
                <w:sz w:val="22"/>
                <w:szCs w:val="22"/>
              </w:rPr>
            </w:pPr>
            <w:r>
              <w:rPr>
                <w:rFonts w:ascii="Times New Roman" w:hAnsi="Times New Roman"/>
                <w:sz w:val="22"/>
                <w:szCs w:val="22"/>
              </w:rPr>
              <w:t>2021SK50510</w:t>
            </w:r>
          </w:p>
        </w:tc>
        <w:tc>
          <w:tcPr>
            <w:tcW w:w="966" w:type="pct"/>
            <w:tcBorders>
              <w:top w:val="single" w:color="000000" w:sz="4" w:space="0"/>
              <w:left w:val="single" w:color="000000" w:sz="4" w:space="0"/>
              <w:bottom w:val="single" w:color="000000" w:sz="4" w:space="0"/>
              <w:right w:val="single" w:color="000000" w:sz="4" w:space="0"/>
            </w:tcBorders>
            <w:vAlign w:val="center"/>
          </w:tcPr>
          <w:p w14:paraId="07B73973">
            <w:pPr>
              <w:spacing w:line="240" w:lineRule="exact"/>
              <w:jc w:val="center"/>
              <w:rPr>
                <w:rFonts w:ascii="Times New Roman" w:hAnsi="Times New Roman"/>
                <w:sz w:val="22"/>
                <w:szCs w:val="22"/>
              </w:rPr>
            </w:pPr>
            <w:r>
              <w:rPr>
                <w:rFonts w:hint="eastAsia" w:ascii="Times New Roman" w:hAnsi="Times New Roman"/>
                <w:sz w:val="22"/>
                <w:szCs w:val="22"/>
              </w:rPr>
              <w:t>纳米碳在儿童腹膜后恶性肿瘤根治性切除术中的应用研究</w:t>
            </w:r>
          </w:p>
        </w:tc>
        <w:tc>
          <w:tcPr>
            <w:tcW w:w="696" w:type="pct"/>
            <w:tcBorders>
              <w:top w:val="single" w:color="000000" w:sz="4" w:space="0"/>
              <w:left w:val="single" w:color="000000" w:sz="4" w:space="0"/>
              <w:bottom w:val="single" w:color="000000" w:sz="4" w:space="0"/>
              <w:right w:val="single" w:color="000000" w:sz="4" w:space="0"/>
            </w:tcBorders>
            <w:vAlign w:val="center"/>
          </w:tcPr>
          <w:p w14:paraId="0ABCB8AA">
            <w:pPr>
              <w:spacing w:line="240" w:lineRule="exact"/>
              <w:jc w:val="center"/>
              <w:rPr>
                <w:rFonts w:ascii="Times New Roman" w:hAnsi="Times New Roman"/>
                <w:sz w:val="22"/>
                <w:szCs w:val="22"/>
              </w:rPr>
            </w:pPr>
            <w:r>
              <w:rPr>
                <w:rFonts w:hint="eastAsia" w:ascii="Times New Roman" w:hAnsi="Times New Roman"/>
                <w:sz w:val="22"/>
                <w:szCs w:val="22"/>
              </w:rPr>
              <w:t>湖南省儿童医院</w:t>
            </w:r>
          </w:p>
        </w:tc>
        <w:tc>
          <w:tcPr>
            <w:tcW w:w="490" w:type="pct"/>
            <w:tcBorders>
              <w:top w:val="single" w:color="000000" w:sz="4" w:space="0"/>
              <w:left w:val="single" w:color="000000" w:sz="4" w:space="0"/>
              <w:bottom w:val="single" w:color="000000" w:sz="4" w:space="0"/>
              <w:right w:val="single" w:color="000000" w:sz="4" w:space="0"/>
            </w:tcBorders>
            <w:vAlign w:val="center"/>
          </w:tcPr>
          <w:p w14:paraId="3CE2BDE1">
            <w:pPr>
              <w:spacing w:line="240" w:lineRule="exact"/>
              <w:jc w:val="center"/>
              <w:rPr>
                <w:rFonts w:ascii="Times New Roman" w:hAnsi="Times New Roman"/>
                <w:sz w:val="22"/>
                <w:szCs w:val="22"/>
              </w:rPr>
            </w:pPr>
            <w:r>
              <w:rPr>
                <w:rFonts w:hint="eastAsia" w:ascii="Times New Roman" w:hAnsi="Times New Roman"/>
                <w:sz w:val="22"/>
                <w:szCs w:val="22"/>
              </w:rPr>
              <w:t>黎明</w:t>
            </w:r>
          </w:p>
        </w:tc>
        <w:tc>
          <w:tcPr>
            <w:tcW w:w="540" w:type="pct"/>
            <w:tcBorders>
              <w:top w:val="single" w:color="000000" w:sz="4" w:space="0"/>
              <w:left w:val="single" w:color="000000" w:sz="4" w:space="0"/>
              <w:bottom w:val="single" w:color="000000" w:sz="4" w:space="0"/>
              <w:right w:val="single" w:color="000000" w:sz="4" w:space="0"/>
            </w:tcBorders>
            <w:vAlign w:val="center"/>
          </w:tcPr>
          <w:p w14:paraId="1D34386C">
            <w:pPr>
              <w:spacing w:line="240" w:lineRule="exact"/>
              <w:jc w:val="center"/>
              <w:rPr>
                <w:rFonts w:ascii="Times New Roman" w:hAnsi="Times New Roman"/>
                <w:sz w:val="22"/>
                <w:szCs w:val="22"/>
              </w:rPr>
            </w:pPr>
            <w:r>
              <w:rPr>
                <w:rFonts w:hint="eastAsia" w:ascii="Times New Roman" w:hAnsi="Times New Roman"/>
                <w:sz w:val="22"/>
                <w:szCs w:val="22"/>
              </w:rPr>
              <w:t>2022年1月-2024年12月</w:t>
            </w:r>
          </w:p>
        </w:tc>
      </w:tr>
      <w:tr w14:paraId="434BCA2D">
        <w:tblPrEx>
          <w:tblCellMar>
            <w:top w:w="0" w:type="dxa"/>
            <w:left w:w="0" w:type="dxa"/>
            <w:bottom w:w="0" w:type="dxa"/>
            <w:right w:w="0" w:type="dxa"/>
          </w:tblCellMar>
        </w:tblPrEx>
        <w:trPr>
          <w:trHeight w:val="544" w:hRule="atLeast"/>
          <w:jc w:val="center"/>
        </w:trPr>
        <w:tc>
          <w:tcPr>
            <w:tcW w:w="338" w:type="pct"/>
            <w:tcBorders>
              <w:top w:val="single" w:color="000000" w:sz="4" w:space="0"/>
              <w:left w:val="single" w:color="000000" w:sz="4" w:space="0"/>
              <w:bottom w:val="single" w:color="000000" w:sz="4" w:space="0"/>
              <w:right w:val="single" w:color="000000" w:sz="4" w:space="0"/>
            </w:tcBorders>
            <w:vAlign w:val="center"/>
          </w:tcPr>
          <w:p w14:paraId="695EE5C6">
            <w:pPr>
              <w:spacing w:line="240" w:lineRule="exact"/>
              <w:jc w:val="center"/>
              <w:rPr>
                <w:rFonts w:ascii="Times New Roman" w:hAnsi="Times New Roman"/>
                <w:sz w:val="22"/>
                <w:szCs w:val="22"/>
              </w:rPr>
            </w:pPr>
            <w:r>
              <w:rPr>
                <w:rFonts w:ascii="Times New Roman" w:hAnsi="Times New Roman"/>
                <w:sz w:val="22"/>
                <w:szCs w:val="22"/>
              </w:rPr>
              <w:t>3</w:t>
            </w:r>
          </w:p>
        </w:tc>
        <w:tc>
          <w:tcPr>
            <w:tcW w:w="1004" w:type="pct"/>
            <w:tcBorders>
              <w:top w:val="single" w:color="000000" w:sz="4" w:space="0"/>
              <w:left w:val="single" w:color="000000" w:sz="4" w:space="0"/>
              <w:bottom w:val="single" w:color="000000" w:sz="4" w:space="0"/>
              <w:right w:val="single" w:color="000000" w:sz="4" w:space="0"/>
            </w:tcBorders>
            <w:vAlign w:val="center"/>
          </w:tcPr>
          <w:p w14:paraId="23110590">
            <w:pPr>
              <w:spacing w:line="240" w:lineRule="exact"/>
              <w:jc w:val="center"/>
              <w:rPr>
                <w:rFonts w:ascii="Times New Roman" w:hAnsi="Times New Roman"/>
                <w:sz w:val="22"/>
                <w:szCs w:val="22"/>
              </w:rPr>
            </w:pPr>
            <w:r>
              <w:rPr>
                <w:rFonts w:hint="eastAsia" w:ascii="Times New Roman" w:hAnsi="Times New Roman"/>
                <w:sz w:val="22"/>
                <w:szCs w:val="22"/>
              </w:rPr>
              <w:t>湖南省卫生健康委科研计划课题</w:t>
            </w:r>
          </w:p>
        </w:tc>
        <w:tc>
          <w:tcPr>
            <w:tcW w:w="967" w:type="pct"/>
            <w:tcBorders>
              <w:top w:val="single" w:color="000000" w:sz="4" w:space="0"/>
              <w:left w:val="single" w:color="000000" w:sz="4" w:space="0"/>
              <w:bottom w:val="single" w:color="000000" w:sz="4" w:space="0"/>
              <w:right w:val="single" w:color="000000" w:sz="4" w:space="0"/>
            </w:tcBorders>
            <w:vAlign w:val="center"/>
          </w:tcPr>
          <w:p w14:paraId="50A6DD22">
            <w:pPr>
              <w:spacing w:line="240" w:lineRule="exact"/>
              <w:jc w:val="center"/>
              <w:rPr>
                <w:rFonts w:ascii="Times New Roman" w:hAnsi="Times New Roman"/>
                <w:sz w:val="22"/>
                <w:szCs w:val="22"/>
              </w:rPr>
            </w:pPr>
            <w:r>
              <w:rPr>
                <w:rFonts w:hint="eastAsia" w:ascii="Times New Roman" w:hAnsi="Times New Roman"/>
                <w:sz w:val="22"/>
                <w:szCs w:val="22"/>
              </w:rPr>
              <w:t>C2019021</w:t>
            </w:r>
          </w:p>
        </w:tc>
        <w:tc>
          <w:tcPr>
            <w:tcW w:w="966" w:type="pct"/>
            <w:tcBorders>
              <w:top w:val="single" w:color="000000" w:sz="4" w:space="0"/>
              <w:left w:val="single" w:color="000000" w:sz="4" w:space="0"/>
              <w:bottom w:val="single" w:color="000000" w:sz="4" w:space="0"/>
              <w:right w:val="single" w:color="000000" w:sz="4" w:space="0"/>
            </w:tcBorders>
            <w:vAlign w:val="center"/>
          </w:tcPr>
          <w:p w14:paraId="4B333706">
            <w:pPr>
              <w:spacing w:line="240" w:lineRule="exact"/>
              <w:jc w:val="center"/>
              <w:rPr>
                <w:rFonts w:ascii="Times New Roman" w:hAnsi="Times New Roman"/>
                <w:sz w:val="22"/>
                <w:szCs w:val="22"/>
              </w:rPr>
            </w:pPr>
            <w:r>
              <w:rPr>
                <w:rFonts w:hint="eastAsia" w:ascii="Times New Roman" w:hAnsi="Times New Roman"/>
                <w:sz w:val="22"/>
                <w:szCs w:val="22"/>
              </w:rPr>
              <w:t>Serabelisib靶向PI3K-Akt-E-cadherint轴调控肝母细胞瘤增殖、凋亡及转移的分子机制研究</w:t>
            </w:r>
          </w:p>
        </w:tc>
        <w:tc>
          <w:tcPr>
            <w:tcW w:w="696" w:type="pct"/>
            <w:tcBorders>
              <w:top w:val="single" w:color="000000" w:sz="4" w:space="0"/>
              <w:left w:val="single" w:color="000000" w:sz="4" w:space="0"/>
              <w:bottom w:val="single" w:color="000000" w:sz="4" w:space="0"/>
              <w:right w:val="single" w:color="000000" w:sz="4" w:space="0"/>
            </w:tcBorders>
            <w:vAlign w:val="center"/>
          </w:tcPr>
          <w:p w14:paraId="4E2EE450">
            <w:pPr>
              <w:spacing w:line="240" w:lineRule="exact"/>
              <w:jc w:val="center"/>
              <w:rPr>
                <w:rFonts w:ascii="Times New Roman" w:hAnsi="Times New Roman"/>
                <w:sz w:val="22"/>
                <w:szCs w:val="22"/>
              </w:rPr>
            </w:pPr>
            <w:r>
              <w:rPr>
                <w:rFonts w:hint="eastAsia" w:ascii="Times New Roman" w:hAnsi="Times New Roman"/>
                <w:sz w:val="22"/>
                <w:szCs w:val="22"/>
              </w:rPr>
              <w:t>湖南省儿童医院</w:t>
            </w:r>
          </w:p>
        </w:tc>
        <w:tc>
          <w:tcPr>
            <w:tcW w:w="490" w:type="pct"/>
            <w:tcBorders>
              <w:top w:val="single" w:color="000000" w:sz="4" w:space="0"/>
              <w:left w:val="single" w:color="000000" w:sz="4" w:space="0"/>
              <w:bottom w:val="single" w:color="000000" w:sz="4" w:space="0"/>
              <w:right w:val="single" w:color="000000" w:sz="4" w:space="0"/>
            </w:tcBorders>
            <w:vAlign w:val="center"/>
          </w:tcPr>
          <w:p w14:paraId="44B7013D">
            <w:pPr>
              <w:spacing w:line="240" w:lineRule="exact"/>
              <w:jc w:val="center"/>
              <w:rPr>
                <w:rFonts w:ascii="Times New Roman" w:hAnsi="Times New Roman"/>
                <w:sz w:val="22"/>
                <w:szCs w:val="22"/>
              </w:rPr>
            </w:pPr>
            <w:r>
              <w:rPr>
                <w:rFonts w:hint="eastAsia" w:ascii="Times New Roman" w:hAnsi="Times New Roman"/>
                <w:sz w:val="22"/>
                <w:szCs w:val="22"/>
              </w:rPr>
              <w:t>黎明</w:t>
            </w:r>
          </w:p>
        </w:tc>
        <w:tc>
          <w:tcPr>
            <w:tcW w:w="540" w:type="pct"/>
            <w:tcBorders>
              <w:top w:val="single" w:color="000000" w:sz="4" w:space="0"/>
              <w:left w:val="single" w:color="000000" w:sz="4" w:space="0"/>
              <w:bottom w:val="single" w:color="000000" w:sz="4" w:space="0"/>
              <w:right w:val="single" w:color="000000" w:sz="4" w:space="0"/>
            </w:tcBorders>
            <w:vAlign w:val="center"/>
          </w:tcPr>
          <w:p w14:paraId="2DC41D32">
            <w:pPr>
              <w:spacing w:line="240" w:lineRule="exact"/>
              <w:jc w:val="center"/>
              <w:rPr>
                <w:rFonts w:ascii="Times New Roman" w:hAnsi="Times New Roman"/>
                <w:sz w:val="22"/>
                <w:szCs w:val="22"/>
              </w:rPr>
            </w:pPr>
            <w:r>
              <w:rPr>
                <w:rFonts w:hint="eastAsia" w:ascii="Times New Roman" w:hAnsi="Times New Roman"/>
                <w:sz w:val="22"/>
                <w:szCs w:val="22"/>
              </w:rPr>
              <w:t>2019年1月-2021年12月</w:t>
            </w:r>
          </w:p>
        </w:tc>
      </w:tr>
      <w:tr w14:paraId="74C1EBC7">
        <w:tblPrEx>
          <w:tblCellMar>
            <w:top w:w="0" w:type="dxa"/>
            <w:left w:w="0" w:type="dxa"/>
            <w:bottom w:w="0" w:type="dxa"/>
            <w:right w:w="0" w:type="dxa"/>
          </w:tblCellMar>
        </w:tblPrEx>
        <w:trPr>
          <w:trHeight w:val="544" w:hRule="atLeast"/>
          <w:jc w:val="center"/>
        </w:trPr>
        <w:tc>
          <w:tcPr>
            <w:tcW w:w="338" w:type="pct"/>
            <w:tcBorders>
              <w:top w:val="single" w:color="000000" w:sz="4" w:space="0"/>
              <w:left w:val="single" w:color="000000" w:sz="4" w:space="0"/>
              <w:bottom w:val="single" w:color="000000" w:sz="4" w:space="0"/>
              <w:right w:val="single" w:color="000000" w:sz="4" w:space="0"/>
            </w:tcBorders>
            <w:vAlign w:val="center"/>
          </w:tcPr>
          <w:p w14:paraId="65A952EE">
            <w:pPr>
              <w:spacing w:line="240" w:lineRule="exact"/>
              <w:jc w:val="center"/>
              <w:rPr>
                <w:rFonts w:ascii="Times New Roman" w:hAnsi="Times New Roman"/>
                <w:sz w:val="22"/>
                <w:szCs w:val="22"/>
              </w:rPr>
            </w:pPr>
            <w:r>
              <w:rPr>
                <w:rFonts w:hint="eastAsia" w:ascii="Times New Roman" w:hAnsi="Times New Roman"/>
                <w:sz w:val="22"/>
                <w:szCs w:val="22"/>
              </w:rPr>
              <w:t>4</w:t>
            </w:r>
          </w:p>
        </w:tc>
        <w:tc>
          <w:tcPr>
            <w:tcW w:w="1004" w:type="pct"/>
            <w:tcBorders>
              <w:top w:val="single" w:color="000000" w:sz="4" w:space="0"/>
              <w:left w:val="single" w:color="000000" w:sz="4" w:space="0"/>
              <w:bottom w:val="single" w:color="000000" w:sz="4" w:space="0"/>
              <w:right w:val="single" w:color="000000" w:sz="4" w:space="0"/>
            </w:tcBorders>
            <w:vAlign w:val="center"/>
          </w:tcPr>
          <w:p w14:paraId="3FB65850">
            <w:pPr>
              <w:spacing w:line="240" w:lineRule="exact"/>
              <w:jc w:val="center"/>
              <w:rPr>
                <w:rFonts w:ascii="Times New Roman" w:hAnsi="Times New Roman"/>
                <w:sz w:val="22"/>
                <w:szCs w:val="22"/>
              </w:rPr>
            </w:pPr>
            <w:r>
              <w:rPr>
                <w:rFonts w:hint="eastAsia" w:ascii="Times New Roman" w:hAnsi="Times New Roman"/>
                <w:sz w:val="22"/>
                <w:szCs w:val="22"/>
              </w:rPr>
              <w:t>湖南省卫生健康委科研计划项目</w:t>
            </w:r>
          </w:p>
        </w:tc>
        <w:tc>
          <w:tcPr>
            <w:tcW w:w="967" w:type="pct"/>
            <w:tcBorders>
              <w:top w:val="single" w:color="000000" w:sz="4" w:space="0"/>
              <w:left w:val="single" w:color="000000" w:sz="4" w:space="0"/>
              <w:bottom w:val="single" w:color="000000" w:sz="4" w:space="0"/>
              <w:right w:val="single" w:color="000000" w:sz="4" w:space="0"/>
            </w:tcBorders>
            <w:vAlign w:val="center"/>
          </w:tcPr>
          <w:p w14:paraId="6D9C63E2">
            <w:pPr>
              <w:spacing w:line="240" w:lineRule="exact"/>
              <w:jc w:val="center"/>
              <w:rPr>
                <w:rFonts w:ascii="Times New Roman" w:hAnsi="Times New Roman"/>
                <w:sz w:val="22"/>
                <w:szCs w:val="22"/>
              </w:rPr>
            </w:pPr>
            <w:r>
              <w:rPr>
                <w:rFonts w:ascii="Times New Roman" w:hAnsi="Times New Roman"/>
                <w:sz w:val="22"/>
                <w:szCs w:val="22"/>
              </w:rPr>
              <w:t>20200320</w:t>
            </w:r>
          </w:p>
        </w:tc>
        <w:tc>
          <w:tcPr>
            <w:tcW w:w="966" w:type="pct"/>
            <w:tcBorders>
              <w:top w:val="single" w:color="000000" w:sz="4" w:space="0"/>
              <w:left w:val="single" w:color="000000" w:sz="4" w:space="0"/>
              <w:bottom w:val="single" w:color="000000" w:sz="4" w:space="0"/>
              <w:right w:val="single" w:color="000000" w:sz="4" w:space="0"/>
            </w:tcBorders>
            <w:vAlign w:val="center"/>
          </w:tcPr>
          <w:p w14:paraId="76EBE6AF">
            <w:pPr>
              <w:spacing w:line="240" w:lineRule="exact"/>
              <w:jc w:val="center"/>
              <w:rPr>
                <w:rFonts w:ascii="Times New Roman" w:hAnsi="Times New Roman"/>
                <w:sz w:val="22"/>
                <w:szCs w:val="22"/>
              </w:rPr>
            </w:pPr>
            <w:r>
              <w:rPr>
                <w:rFonts w:hint="eastAsia" w:ascii="Times New Roman" w:hAnsi="Times New Roman"/>
                <w:sz w:val="22"/>
                <w:szCs w:val="22"/>
              </w:rPr>
              <w:t>基于JAK2-STAT3信号通路探讨毛壳菌素抗神经母细胞瘤作用及机制研究</w:t>
            </w:r>
          </w:p>
        </w:tc>
        <w:tc>
          <w:tcPr>
            <w:tcW w:w="696" w:type="pct"/>
            <w:tcBorders>
              <w:top w:val="single" w:color="000000" w:sz="4" w:space="0"/>
              <w:left w:val="single" w:color="000000" w:sz="4" w:space="0"/>
              <w:bottom w:val="single" w:color="000000" w:sz="4" w:space="0"/>
              <w:right w:val="single" w:color="000000" w:sz="4" w:space="0"/>
            </w:tcBorders>
            <w:vAlign w:val="center"/>
          </w:tcPr>
          <w:p w14:paraId="2EE2383D">
            <w:pPr>
              <w:spacing w:line="240" w:lineRule="exact"/>
              <w:jc w:val="center"/>
              <w:rPr>
                <w:rFonts w:ascii="Times New Roman" w:hAnsi="Times New Roman"/>
                <w:sz w:val="22"/>
                <w:szCs w:val="22"/>
              </w:rPr>
            </w:pPr>
            <w:r>
              <w:rPr>
                <w:rFonts w:hint="eastAsia" w:ascii="Times New Roman" w:hAnsi="Times New Roman"/>
                <w:sz w:val="22"/>
                <w:szCs w:val="22"/>
              </w:rPr>
              <w:t>湖南省儿童医院</w:t>
            </w:r>
          </w:p>
        </w:tc>
        <w:tc>
          <w:tcPr>
            <w:tcW w:w="490" w:type="pct"/>
            <w:tcBorders>
              <w:top w:val="single" w:color="000000" w:sz="4" w:space="0"/>
              <w:left w:val="single" w:color="000000" w:sz="4" w:space="0"/>
              <w:bottom w:val="single" w:color="000000" w:sz="4" w:space="0"/>
              <w:right w:val="single" w:color="000000" w:sz="4" w:space="0"/>
            </w:tcBorders>
            <w:vAlign w:val="center"/>
          </w:tcPr>
          <w:p w14:paraId="64B03ED4">
            <w:pPr>
              <w:spacing w:line="240" w:lineRule="exact"/>
              <w:jc w:val="center"/>
              <w:rPr>
                <w:rFonts w:ascii="Times New Roman" w:hAnsi="Times New Roman"/>
                <w:sz w:val="22"/>
                <w:szCs w:val="22"/>
              </w:rPr>
            </w:pPr>
            <w:r>
              <w:rPr>
                <w:rFonts w:hint="eastAsia" w:ascii="Times New Roman" w:hAnsi="Times New Roman"/>
                <w:sz w:val="22"/>
                <w:szCs w:val="22"/>
              </w:rPr>
              <w:t>唐湘莲</w:t>
            </w:r>
          </w:p>
        </w:tc>
        <w:tc>
          <w:tcPr>
            <w:tcW w:w="540" w:type="pct"/>
            <w:tcBorders>
              <w:top w:val="single" w:color="000000" w:sz="4" w:space="0"/>
              <w:left w:val="single" w:color="000000" w:sz="4" w:space="0"/>
              <w:bottom w:val="single" w:color="000000" w:sz="4" w:space="0"/>
              <w:right w:val="single" w:color="000000" w:sz="4" w:space="0"/>
            </w:tcBorders>
            <w:vAlign w:val="center"/>
          </w:tcPr>
          <w:p w14:paraId="773807E3">
            <w:pPr>
              <w:spacing w:line="240" w:lineRule="exact"/>
              <w:jc w:val="center"/>
              <w:rPr>
                <w:rFonts w:hint="eastAsia" w:ascii="Times New Roman" w:hAnsi="Times New Roman"/>
                <w:sz w:val="22"/>
                <w:szCs w:val="22"/>
              </w:rPr>
            </w:pPr>
            <w:r>
              <w:rPr>
                <w:rFonts w:hint="eastAsia" w:ascii="Times New Roman" w:hAnsi="Times New Roman"/>
                <w:sz w:val="22"/>
                <w:szCs w:val="22"/>
              </w:rPr>
              <w:t>2020年1月-2022年12月</w:t>
            </w:r>
          </w:p>
        </w:tc>
      </w:tr>
      <w:tr w14:paraId="63A52EA0">
        <w:tblPrEx>
          <w:tblCellMar>
            <w:top w:w="0" w:type="dxa"/>
            <w:left w:w="0" w:type="dxa"/>
            <w:bottom w:w="0" w:type="dxa"/>
            <w:right w:w="0" w:type="dxa"/>
          </w:tblCellMar>
        </w:tblPrEx>
        <w:trPr>
          <w:trHeight w:val="544" w:hRule="atLeast"/>
          <w:jc w:val="center"/>
        </w:trPr>
        <w:tc>
          <w:tcPr>
            <w:tcW w:w="338" w:type="pct"/>
            <w:tcBorders>
              <w:top w:val="single" w:color="000000" w:sz="4" w:space="0"/>
              <w:left w:val="single" w:color="000000" w:sz="4" w:space="0"/>
              <w:bottom w:val="single" w:color="000000" w:sz="4" w:space="0"/>
              <w:right w:val="single" w:color="000000" w:sz="4" w:space="0"/>
            </w:tcBorders>
            <w:vAlign w:val="center"/>
          </w:tcPr>
          <w:p w14:paraId="1A3431DE">
            <w:pPr>
              <w:spacing w:line="240" w:lineRule="exact"/>
              <w:jc w:val="center"/>
              <w:rPr>
                <w:rFonts w:ascii="Times New Roman" w:hAnsi="Times New Roman"/>
                <w:sz w:val="22"/>
                <w:szCs w:val="22"/>
              </w:rPr>
            </w:pPr>
            <w:r>
              <w:rPr>
                <w:rFonts w:hint="eastAsia" w:ascii="Times New Roman" w:hAnsi="Times New Roman"/>
                <w:sz w:val="22"/>
                <w:szCs w:val="22"/>
              </w:rPr>
              <w:t>5</w:t>
            </w:r>
          </w:p>
        </w:tc>
        <w:tc>
          <w:tcPr>
            <w:tcW w:w="1004" w:type="pct"/>
            <w:tcBorders>
              <w:top w:val="single" w:color="000000" w:sz="4" w:space="0"/>
              <w:left w:val="single" w:color="000000" w:sz="4" w:space="0"/>
              <w:bottom w:val="single" w:color="000000" w:sz="4" w:space="0"/>
              <w:right w:val="single" w:color="000000" w:sz="4" w:space="0"/>
            </w:tcBorders>
            <w:vAlign w:val="center"/>
          </w:tcPr>
          <w:p w14:paraId="3729A220">
            <w:pPr>
              <w:spacing w:line="240" w:lineRule="exact"/>
              <w:jc w:val="center"/>
              <w:rPr>
                <w:rFonts w:ascii="Times New Roman" w:hAnsi="Times New Roman"/>
                <w:sz w:val="22"/>
                <w:szCs w:val="22"/>
              </w:rPr>
            </w:pPr>
            <w:r>
              <w:rPr>
                <w:rFonts w:hint="eastAsia" w:ascii="Times New Roman" w:hAnsi="Times New Roman"/>
                <w:sz w:val="22"/>
                <w:szCs w:val="22"/>
              </w:rPr>
              <w:t>湖南省卫生健康委科研计划课题</w:t>
            </w:r>
          </w:p>
        </w:tc>
        <w:tc>
          <w:tcPr>
            <w:tcW w:w="967" w:type="pct"/>
            <w:tcBorders>
              <w:top w:val="single" w:color="000000" w:sz="4" w:space="0"/>
              <w:left w:val="single" w:color="000000" w:sz="4" w:space="0"/>
              <w:bottom w:val="single" w:color="000000" w:sz="4" w:space="0"/>
              <w:right w:val="single" w:color="000000" w:sz="4" w:space="0"/>
            </w:tcBorders>
            <w:vAlign w:val="center"/>
          </w:tcPr>
          <w:p w14:paraId="4EE4287B">
            <w:pPr>
              <w:spacing w:line="240" w:lineRule="exact"/>
              <w:jc w:val="center"/>
              <w:rPr>
                <w:rFonts w:ascii="Times New Roman" w:hAnsi="Times New Roman"/>
                <w:sz w:val="22"/>
                <w:szCs w:val="22"/>
              </w:rPr>
            </w:pPr>
            <w:r>
              <w:rPr>
                <w:rFonts w:ascii="Times New Roman" w:hAnsi="Times New Roman"/>
                <w:sz w:val="22"/>
                <w:szCs w:val="22"/>
              </w:rPr>
              <w:t>202104081314</w:t>
            </w:r>
          </w:p>
        </w:tc>
        <w:tc>
          <w:tcPr>
            <w:tcW w:w="966" w:type="pct"/>
            <w:tcBorders>
              <w:top w:val="single" w:color="000000" w:sz="4" w:space="0"/>
              <w:left w:val="single" w:color="000000" w:sz="4" w:space="0"/>
              <w:bottom w:val="single" w:color="000000" w:sz="4" w:space="0"/>
              <w:right w:val="single" w:color="000000" w:sz="4" w:space="0"/>
            </w:tcBorders>
            <w:vAlign w:val="center"/>
          </w:tcPr>
          <w:p w14:paraId="597FA257">
            <w:pPr>
              <w:spacing w:line="240" w:lineRule="exact"/>
              <w:jc w:val="center"/>
              <w:rPr>
                <w:rFonts w:ascii="Times New Roman" w:hAnsi="Times New Roman"/>
                <w:sz w:val="22"/>
                <w:szCs w:val="22"/>
              </w:rPr>
            </w:pPr>
            <w:r>
              <w:rPr>
                <w:rFonts w:hint="eastAsia" w:ascii="Times New Roman" w:hAnsi="Times New Roman"/>
                <w:sz w:val="22"/>
                <w:szCs w:val="22"/>
              </w:rPr>
              <w:t>筛选调控PHOX2B基因表达的 miRNA及其在神经母细胞瘤中的作用机制研究</w:t>
            </w:r>
          </w:p>
        </w:tc>
        <w:tc>
          <w:tcPr>
            <w:tcW w:w="696" w:type="pct"/>
            <w:tcBorders>
              <w:top w:val="single" w:color="000000" w:sz="4" w:space="0"/>
              <w:left w:val="single" w:color="000000" w:sz="4" w:space="0"/>
              <w:bottom w:val="single" w:color="000000" w:sz="4" w:space="0"/>
              <w:right w:val="single" w:color="000000" w:sz="4" w:space="0"/>
            </w:tcBorders>
            <w:vAlign w:val="center"/>
          </w:tcPr>
          <w:p w14:paraId="6EAC1D81">
            <w:pPr>
              <w:spacing w:line="240" w:lineRule="exact"/>
              <w:jc w:val="center"/>
              <w:rPr>
                <w:rFonts w:ascii="Times New Roman" w:hAnsi="Times New Roman"/>
                <w:sz w:val="22"/>
                <w:szCs w:val="22"/>
              </w:rPr>
            </w:pPr>
            <w:r>
              <w:rPr>
                <w:rFonts w:hint="eastAsia" w:ascii="Times New Roman" w:hAnsi="Times New Roman"/>
                <w:sz w:val="22"/>
                <w:szCs w:val="22"/>
              </w:rPr>
              <w:t>湖南省儿童医院</w:t>
            </w:r>
          </w:p>
        </w:tc>
        <w:tc>
          <w:tcPr>
            <w:tcW w:w="490" w:type="pct"/>
            <w:tcBorders>
              <w:top w:val="single" w:color="000000" w:sz="4" w:space="0"/>
              <w:left w:val="single" w:color="000000" w:sz="4" w:space="0"/>
              <w:bottom w:val="single" w:color="000000" w:sz="4" w:space="0"/>
              <w:right w:val="single" w:color="000000" w:sz="4" w:space="0"/>
            </w:tcBorders>
            <w:vAlign w:val="center"/>
          </w:tcPr>
          <w:p w14:paraId="42CD350D">
            <w:pPr>
              <w:spacing w:line="240" w:lineRule="exact"/>
              <w:jc w:val="center"/>
              <w:rPr>
                <w:rFonts w:ascii="Times New Roman" w:hAnsi="Times New Roman"/>
                <w:sz w:val="22"/>
                <w:szCs w:val="22"/>
              </w:rPr>
            </w:pPr>
            <w:r>
              <w:rPr>
                <w:rFonts w:hint="eastAsia" w:ascii="Times New Roman" w:hAnsi="Times New Roman"/>
                <w:sz w:val="22"/>
                <w:szCs w:val="22"/>
              </w:rPr>
              <w:t>刘登辉</w:t>
            </w:r>
          </w:p>
        </w:tc>
        <w:tc>
          <w:tcPr>
            <w:tcW w:w="540" w:type="pct"/>
            <w:tcBorders>
              <w:top w:val="single" w:color="000000" w:sz="4" w:space="0"/>
              <w:left w:val="single" w:color="000000" w:sz="4" w:space="0"/>
              <w:bottom w:val="single" w:color="000000" w:sz="4" w:space="0"/>
              <w:right w:val="single" w:color="000000" w:sz="4" w:space="0"/>
            </w:tcBorders>
            <w:vAlign w:val="center"/>
          </w:tcPr>
          <w:p w14:paraId="247C2585">
            <w:pPr>
              <w:spacing w:line="240" w:lineRule="exact"/>
              <w:jc w:val="center"/>
              <w:rPr>
                <w:rFonts w:hint="eastAsia" w:ascii="Times New Roman" w:hAnsi="Times New Roman"/>
                <w:sz w:val="22"/>
                <w:szCs w:val="22"/>
              </w:rPr>
            </w:pPr>
            <w:r>
              <w:rPr>
                <w:rFonts w:hint="eastAsia" w:ascii="Times New Roman" w:hAnsi="Times New Roman"/>
                <w:sz w:val="22"/>
                <w:szCs w:val="22"/>
              </w:rPr>
              <w:t>2021年1月-2023年12月</w:t>
            </w:r>
          </w:p>
        </w:tc>
      </w:tr>
      <w:tr w14:paraId="0952E94E">
        <w:tblPrEx>
          <w:tblCellMar>
            <w:top w:w="0" w:type="dxa"/>
            <w:left w:w="0" w:type="dxa"/>
            <w:bottom w:w="0" w:type="dxa"/>
            <w:right w:w="0" w:type="dxa"/>
          </w:tblCellMar>
        </w:tblPrEx>
        <w:trPr>
          <w:trHeight w:val="544" w:hRule="atLeast"/>
          <w:jc w:val="center"/>
        </w:trPr>
        <w:tc>
          <w:tcPr>
            <w:tcW w:w="338" w:type="pct"/>
            <w:tcBorders>
              <w:top w:val="single" w:color="000000" w:sz="4" w:space="0"/>
              <w:left w:val="single" w:color="000000" w:sz="4" w:space="0"/>
              <w:bottom w:val="single" w:color="000000" w:sz="4" w:space="0"/>
              <w:right w:val="single" w:color="000000" w:sz="4" w:space="0"/>
            </w:tcBorders>
            <w:vAlign w:val="center"/>
          </w:tcPr>
          <w:p w14:paraId="1983E6D8">
            <w:pPr>
              <w:spacing w:line="240" w:lineRule="exact"/>
              <w:jc w:val="center"/>
              <w:rPr>
                <w:rFonts w:ascii="Times New Roman" w:hAnsi="Times New Roman"/>
                <w:sz w:val="22"/>
                <w:szCs w:val="22"/>
              </w:rPr>
            </w:pPr>
            <w:r>
              <w:rPr>
                <w:rFonts w:hint="eastAsia" w:ascii="Times New Roman" w:hAnsi="Times New Roman"/>
                <w:sz w:val="22"/>
                <w:szCs w:val="22"/>
              </w:rPr>
              <w:t>6</w:t>
            </w:r>
          </w:p>
        </w:tc>
        <w:tc>
          <w:tcPr>
            <w:tcW w:w="1004" w:type="pct"/>
            <w:tcBorders>
              <w:top w:val="single" w:color="000000" w:sz="4" w:space="0"/>
              <w:left w:val="single" w:color="000000" w:sz="4" w:space="0"/>
              <w:bottom w:val="single" w:color="000000" w:sz="4" w:space="0"/>
              <w:right w:val="single" w:color="000000" w:sz="4" w:space="0"/>
            </w:tcBorders>
            <w:vAlign w:val="center"/>
          </w:tcPr>
          <w:p w14:paraId="2CB828C7">
            <w:pPr>
              <w:spacing w:line="240" w:lineRule="exact"/>
              <w:jc w:val="center"/>
              <w:rPr>
                <w:rFonts w:ascii="Times New Roman" w:hAnsi="Times New Roman"/>
                <w:sz w:val="22"/>
                <w:szCs w:val="22"/>
              </w:rPr>
            </w:pPr>
            <w:r>
              <w:rPr>
                <w:rFonts w:hint="eastAsia" w:ascii="Times New Roman" w:hAnsi="Times New Roman"/>
                <w:sz w:val="22"/>
                <w:szCs w:val="22"/>
              </w:rPr>
              <w:t>湖南省卫生健康委科研计划课题</w:t>
            </w:r>
          </w:p>
        </w:tc>
        <w:tc>
          <w:tcPr>
            <w:tcW w:w="967" w:type="pct"/>
            <w:tcBorders>
              <w:top w:val="single" w:color="000000" w:sz="4" w:space="0"/>
              <w:left w:val="single" w:color="000000" w:sz="4" w:space="0"/>
              <w:bottom w:val="single" w:color="000000" w:sz="4" w:space="0"/>
              <w:right w:val="single" w:color="000000" w:sz="4" w:space="0"/>
            </w:tcBorders>
            <w:vAlign w:val="center"/>
          </w:tcPr>
          <w:p w14:paraId="15E8491D">
            <w:pPr>
              <w:spacing w:line="240" w:lineRule="exact"/>
              <w:jc w:val="center"/>
              <w:rPr>
                <w:rFonts w:ascii="Times New Roman" w:hAnsi="Times New Roman"/>
                <w:sz w:val="22"/>
                <w:szCs w:val="22"/>
              </w:rPr>
            </w:pPr>
            <w:r>
              <w:rPr>
                <w:rFonts w:ascii="Times New Roman" w:hAnsi="Times New Roman"/>
                <w:sz w:val="22"/>
                <w:szCs w:val="22"/>
              </w:rPr>
              <w:t>202104081062</w:t>
            </w:r>
          </w:p>
        </w:tc>
        <w:tc>
          <w:tcPr>
            <w:tcW w:w="966" w:type="pct"/>
            <w:tcBorders>
              <w:top w:val="single" w:color="000000" w:sz="4" w:space="0"/>
              <w:left w:val="single" w:color="000000" w:sz="4" w:space="0"/>
              <w:bottom w:val="single" w:color="000000" w:sz="4" w:space="0"/>
              <w:right w:val="single" w:color="000000" w:sz="4" w:space="0"/>
            </w:tcBorders>
            <w:vAlign w:val="center"/>
          </w:tcPr>
          <w:p w14:paraId="2BF1B071">
            <w:pPr>
              <w:spacing w:line="240" w:lineRule="exact"/>
              <w:jc w:val="center"/>
              <w:rPr>
                <w:rFonts w:ascii="Times New Roman" w:hAnsi="Times New Roman"/>
                <w:sz w:val="22"/>
                <w:szCs w:val="22"/>
              </w:rPr>
            </w:pPr>
            <w:r>
              <w:rPr>
                <w:rFonts w:hint="eastAsia" w:ascii="Times New Roman" w:hAnsi="Times New Roman"/>
                <w:sz w:val="22"/>
                <w:szCs w:val="22"/>
              </w:rPr>
              <w:t>miR-338调控Hedgehog信号通路促进小儿神经母细胞瘤发展的机制研究</w:t>
            </w:r>
          </w:p>
        </w:tc>
        <w:tc>
          <w:tcPr>
            <w:tcW w:w="696" w:type="pct"/>
            <w:tcBorders>
              <w:top w:val="single" w:color="000000" w:sz="4" w:space="0"/>
              <w:left w:val="single" w:color="000000" w:sz="4" w:space="0"/>
              <w:bottom w:val="single" w:color="000000" w:sz="4" w:space="0"/>
              <w:right w:val="single" w:color="000000" w:sz="4" w:space="0"/>
            </w:tcBorders>
            <w:vAlign w:val="center"/>
          </w:tcPr>
          <w:p w14:paraId="10963F29">
            <w:pPr>
              <w:spacing w:line="240" w:lineRule="exact"/>
              <w:jc w:val="center"/>
              <w:rPr>
                <w:rFonts w:ascii="Times New Roman" w:hAnsi="Times New Roman"/>
                <w:sz w:val="22"/>
                <w:szCs w:val="22"/>
              </w:rPr>
            </w:pPr>
            <w:r>
              <w:rPr>
                <w:rFonts w:hint="eastAsia" w:ascii="Times New Roman" w:hAnsi="Times New Roman"/>
                <w:sz w:val="22"/>
                <w:szCs w:val="22"/>
              </w:rPr>
              <w:t>湖南省儿童医院</w:t>
            </w:r>
          </w:p>
        </w:tc>
        <w:tc>
          <w:tcPr>
            <w:tcW w:w="490" w:type="pct"/>
            <w:tcBorders>
              <w:top w:val="single" w:color="000000" w:sz="4" w:space="0"/>
              <w:left w:val="single" w:color="000000" w:sz="4" w:space="0"/>
              <w:bottom w:val="single" w:color="000000" w:sz="4" w:space="0"/>
              <w:right w:val="single" w:color="000000" w:sz="4" w:space="0"/>
            </w:tcBorders>
            <w:vAlign w:val="center"/>
          </w:tcPr>
          <w:p w14:paraId="7D882824">
            <w:pPr>
              <w:spacing w:line="240" w:lineRule="exact"/>
              <w:jc w:val="center"/>
              <w:rPr>
                <w:rFonts w:ascii="Times New Roman" w:hAnsi="Times New Roman"/>
                <w:sz w:val="22"/>
                <w:szCs w:val="22"/>
              </w:rPr>
            </w:pPr>
            <w:r>
              <w:rPr>
                <w:rFonts w:hint="eastAsia" w:ascii="Times New Roman" w:hAnsi="Times New Roman"/>
                <w:sz w:val="22"/>
                <w:szCs w:val="22"/>
              </w:rPr>
              <w:t>周宇翔</w:t>
            </w:r>
          </w:p>
        </w:tc>
        <w:tc>
          <w:tcPr>
            <w:tcW w:w="540" w:type="pct"/>
            <w:tcBorders>
              <w:top w:val="single" w:color="000000" w:sz="4" w:space="0"/>
              <w:left w:val="single" w:color="000000" w:sz="4" w:space="0"/>
              <w:bottom w:val="single" w:color="000000" w:sz="4" w:space="0"/>
              <w:right w:val="single" w:color="000000" w:sz="4" w:space="0"/>
            </w:tcBorders>
            <w:vAlign w:val="center"/>
          </w:tcPr>
          <w:p w14:paraId="2ECA3879">
            <w:pPr>
              <w:spacing w:line="240" w:lineRule="exact"/>
              <w:jc w:val="center"/>
              <w:rPr>
                <w:rFonts w:ascii="Times New Roman" w:hAnsi="Times New Roman"/>
                <w:sz w:val="22"/>
                <w:szCs w:val="22"/>
              </w:rPr>
            </w:pPr>
            <w:r>
              <w:rPr>
                <w:rFonts w:hint="eastAsia" w:ascii="Times New Roman" w:hAnsi="Times New Roman"/>
                <w:sz w:val="22"/>
                <w:szCs w:val="22"/>
              </w:rPr>
              <w:t>2021年1月-2023年12月</w:t>
            </w:r>
          </w:p>
        </w:tc>
      </w:tr>
    </w:tbl>
    <w:p w14:paraId="169DEF0B">
      <w:pPr>
        <w:snapToGrid w:val="0"/>
        <w:spacing w:line="360" w:lineRule="auto"/>
        <w:ind w:firstLine="420" w:firstLineChars="200"/>
        <w:rPr>
          <w:rFonts w:ascii="Times New Roman" w:hAnsi="Times New Roman"/>
          <w:position w:val="-1"/>
          <w:szCs w:val="21"/>
        </w:rPr>
      </w:pPr>
    </w:p>
    <w:p w14:paraId="4126440E">
      <w:pPr>
        <w:spacing w:line="341" w:lineRule="exact"/>
        <w:rPr>
          <w:rFonts w:ascii="Times New Roman" w:hAnsi="Times New Roman" w:eastAsia="黑体"/>
          <w:position w:val="-3"/>
          <w:sz w:val="28"/>
          <w:szCs w:val="28"/>
        </w:rPr>
      </w:pPr>
    </w:p>
    <w:p w14:paraId="53BDE7A8">
      <w:pPr>
        <w:jc w:val="center"/>
        <w:rPr>
          <w:rFonts w:ascii="Times New Roman" w:hAnsi="Times New Roman" w:eastAsia="黑体"/>
          <w:position w:val="-3"/>
          <w:sz w:val="28"/>
          <w:szCs w:val="28"/>
        </w:rPr>
      </w:pPr>
      <w:r>
        <w:rPr>
          <w:rFonts w:hint="eastAsia" w:ascii="Times New Roman" w:hAnsi="Times New Roman" w:eastAsia="黑体"/>
          <w:position w:val="-3"/>
          <w:sz w:val="28"/>
          <w:szCs w:val="28"/>
        </w:rPr>
        <w:t>八、推广应用情况</w:t>
      </w:r>
    </w:p>
    <w:tbl>
      <w:tblPr>
        <w:tblStyle w:val="6"/>
        <w:tblW w:w="9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2"/>
        <w:gridCol w:w="2002"/>
        <w:gridCol w:w="2358"/>
        <w:gridCol w:w="2458"/>
      </w:tblGrid>
      <w:tr w14:paraId="6D3D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2" w:type="dxa"/>
            <w:tcBorders>
              <w:top w:val="single" w:color="auto" w:sz="4" w:space="0"/>
              <w:left w:val="single" w:color="auto" w:sz="4" w:space="0"/>
              <w:bottom w:val="single" w:color="auto" w:sz="4" w:space="0"/>
              <w:right w:val="single" w:color="auto" w:sz="4" w:space="0"/>
            </w:tcBorders>
            <w:vAlign w:val="center"/>
          </w:tcPr>
          <w:p w14:paraId="1295C9E9">
            <w:pPr>
              <w:jc w:val="center"/>
              <w:rPr>
                <w:rFonts w:ascii="Times New Roman" w:hAnsi="Times New Roman" w:eastAsia="黑体"/>
                <w:position w:val="-3"/>
                <w:sz w:val="24"/>
              </w:rPr>
            </w:pPr>
            <w:r>
              <w:rPr>
                <w:rFonts w:hint="eastAsia" w:ascii="Times New Roman" w:hAnsi="Times New Roman" w:eastAsia="黑体"/>
                <w:position w:val="-3"/>
                <w:sz w:val="24"/>
              </w:rPr>
              <w:t>应用单位名称</w:t>
            </w:r>
          </w:p>
        </w:tc>
        <w:tc>
          <w:tcPr>
            <w:tcW w:w="2002" w:type="dxa"/>
            <w:tcBorders>
              <w:top w:val="single" w:color="auto" w:sz="4" w:space="0"/>
              <w:left w:val="single" w:color="auto" w:sz="4" w:space="0"/>
              <w:bottom w:val="single" w:color="auto" w:sz="4" w:space="0"/>
              <w:right w:val="single" w:color="auto" w:sz="4" w:space="0"/>
            </w:tcBorders>
            <w:vAlign w:val="center"/>
          </w:tcPr>
          <w:p w14:paraId="011C45CD">
            <w:pPr>
              <w:jc w:val="center"/>
              <w:rPr>
                <w:rFonts w:ascii="Times New Roman" w:hAnsi="Times New Roman" w:eastAsia="黑体"/>
                <w:position w:val="-3"/>
                <w:sz w:val="24"/>
              </w:rPr>
            </w:pPr>
            <w:r>
              <w:rPr>
                <w:rFonts w:hint="eastAsia" w:ascii="Times New Roman" w:hAnsi="Times New Roman" w:eastAsia="黑体"/>
                <w:position w:val="-3"/>
                <w:sz w:val="24"/>
              </w:rPr>
              <w:t>应用技术</w:t>
            </w:r>
          </w:p>
        </w:tc>
        <w:tc>
          <w:tcPr>
            <w:tcW w:w="2358" w:type="dxa"/>
            <w:tcBorders>
              <w:top w:val="single" w:color="auto" w:sz="4" w:space="0"/>
              <w:left w:val="single" w:color="auto" w:sz="4" w:space="0"/>
              <w:bottom w:val="single" w:color="auto" w:sz="4" w:space="0"/>
              <w:right w:val="single" w:color="auto" w:sz="4" w:space="0"/>
            </w:tcBorders>
            <w:vAlign w:val="center"/>
          </w:tcPr>
          <w:p w14:paraId="465CC713">
            <w:pPr>
              <w:jc w:val="center"/>
              <w:rPr>
                <w:rFonts w:ascii="Times New Roman" w:hAnsi="Times New Roman" w:eastAsia="黑体"/>
                <w:position w:val="-3"/>
                <w:sz w:val="24"/>
              </w:rPr>
            </w:pPr>
            <w:r>
              <w:rPr>
                <w:rFonts w:hint="eastAsia" w:ascii="Times New Roman" w:hAnsi="Times New Roman" w:eastAsia="黑体"/>
                <w:position w:val="-3"/>
                <w:sz w:val="24"/>
              </w:rPr>
              <w:t>应用的起止时间</w:t>
            </w:r>
          </w:p>
        </w:tc>
        <w:tc>
          <w:tcPr>
            <w:tcW w:w="2458" w:type="dxa"/>
            <w:tcBorders>
              <w:top w:val="single" w:color="auto" w:sz="4" w:space="0"/>
              <w:left w:val="single" w:color="auto" w:sz="4" w:space="0"/>
              <w:bottom w:val="single" w:color="auto" w:sz="4" w:space="0"/>
              <w:right w:val="single" w:color="auto" w:sz="4" w:space="0"/>
            </w:tcBorders>
            <w:vAlign w:val="center"/>
          </w:tcPr>
          <w:p w14:paraId="37F6BFD9">
            <w:pPr>
              <w:jc w:val="left"/>
              <w:rPr>
                <w:rFonts w:ascii="Times New Roman" w:hAnsi="Times New Roman" w:eastAsia="黑体"/>
                <w:position w:val="-3"/>
                <w:sz w:val="24"/>
              </w:rPr>
            </w:pPr>
            <w:bookmarkStart w:id="1" w:name="OLE_LINK1"/>
            <w:r>
              <w:rPr>
                <w:rFonts w:hint="eastAsia" w:ascii="Times New Roman" w:hAnsi="Times New Roman" w:eastAsia="黑体"/>
                <w:position w:val="-3"/>
                <w:sz w:val="24"/>
              </w:rPr>
              <w:t>应用单位联系人</w:t>
            </w:r>
            <w:r>
              <w:rPr>
                <w:rFonts w:ascii="Times New Roman" w:hAnsi="Times New Roman" w:eastAsia="黑体"/>
                <w:position w:val="-3"/>
                <w:sz w:val="24"/>
              </w:rPr>
              <w:t>/</w:t>
            </w:r>
            <w:r>
              <w:rPr>
                <w:rFonts w:hint="eastAsia" w:ascii="Times New Roman" w:hAnsi="Times New Roman" w:eastAsia="黑体"/>
                <w:position w:val="-3"/>
                <w:sz w:val="24"/>
              </w:rPr>
              <w:t>电话</w:t>
            </w:r>
            <w:bookmarkEnd w:id="1"/>
          </w:p>
        </w:tc>
      </w:tr>
      <w:tr w14:paraId="4D35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2" w:type="dxa"/>
            <w:tcBorders>
              <w:top w:val="single" w:color="auto" w:sz="4" w:space="0"/>
              <w:left w:val="single" w:color="auto" w:sz="4" w:space="0"/>
              <w:bottom w:val="single" w:color="auto" w:sz="4" w:space="0"/>
              <w:right w:val="single" w:color="auto" w:sz="4" w:space="0"/>
            </w:tcBorders>
          </w:tcPr>
          <w:p w14:paraId="1AA939EB">
            <w:pPr>
              <w:spacing w:line="240" w:lineRule="exact"/>
              <w:jc w:val="center"/>
              <w:rPr>
                <w:rFonts w:ascii="Times New Roman" w:hAnsi="Times New Roman" w:eastAsia="宋体" w:cs="Times New Roman"/>
                <w:position w:val="-3"/>
                <w:sz w:val="24"/>
              </w:rPr>
            </w:pPr>
            <w:r>
              <w:rPr>
                <w:rFonts w:ascii="Times New Roman" w:hAnsi="Times New Roman" w:eastAsia="宋体" w:cs="Times New Roman"/>
                <w:position w:val="-3"/>
                <w:sz w:val="24"/>
              </w:rPr>
              <w:t>郴州儿童医院</w:t>
            </w:r>
          </w:p>
        </w:tc>
        <w:tc>
          <w:tcPr>
            <w:tcW w:w="2002" w:type="dxa"/>
            <w:tcBorders>
              <w:top w:val="single" w:color="auto" w:sz="4" w:space="0"/>
              <w:left w:val="single" w:color="auto" w:sz="4" w:space="0"/>
              <w:bottom w:val="single" w:color="auto" w:sz="4" w:space="0"/>
              <w:right w:val="single" w:color="auto" w:sz="4" w:space="0"/>
            </w:tcBorders>
          </w:tcPr>
          <w:p w14:paraId="7EC101F2">
            <w:pPr>
              <w:spacing w:line="240" w:lineRule="exact"/>
              <w:rPr>
                <w:rFonts w:hint="eastAsia" w:ascii="Times New Roman" w:hAnsi="Times New Roman" w:eastAsia="宋体" w:cs="Times New Roman"/>
                <w:position w:val="-3"/>
                <w:sz w:val="24"/>
              </w:rPr>
            </w:pPr>
            <w:r>
              <w:rPr>
                <w:rFonts w:hint="eastAsia" w:ascii="Times New Roman" w:hAnsi="Times New Roman" w:eastAsia="宋体" w:cs="Times New Roman"/>
                <w:position w:val="-3"/>
                <w:sz w:val="24"/>
              </w:rPr>
              <w:t>血管骨骼化解剖技术、腔内心电图定位</w:t>
            </w:r>
          </w:p>
        </w:tc>
        <w:tc>
          <w:tcPr>
            <w:tcW w:w="2358" w:type="dxa"/>
            <w:tcBorders>
              <w:top w:val="single" w:color="auto" w:sz="4" w:space="0"/>
              <w:left w:val="single" w:color="auto" w:sz="4" w:space="0"/>
              <w:bottom w:val="single" w:color="auto" w:sz="4" w:space="0"/>
              <w:right w:val="single" w:color="auto" w:sz="4" w:space="0"/>
            </w:tcBorders>
          </w:tcPr>
          <w:p w14:paraId="12FA8858">
            <w:pPr>
              <w:spacing w:line="240" w:lineRule="exact"/>
              <w:rPr>
                <w:rFonts w:hint="eastAsia" w:ascii="Times New Roman" w:hAnsi="Times New Roman" w:eastAsia="宋体" w:cs="Times New Roman"/>
                <w:position w:val="-3"/>
                <w:sz w:val="24"/>
              </w:rPr>
            </w:pPr>
            <w:r>
              <w:rPr>
                <w:rFonts w:hint="eastAsia" w:ascii="Times New Roman" w:hAnsi="Times New Roman" w:eastAsia="宋体" w:cs="Times New Roman"/>
                <w:position w:val="-3"/>
                <w:sz w:val="24"/>
              </w:rPr>
              <w:t>2023年1月-2024年12月</w:t>
            </w:r>
          </w:p>
        </w:tc>
        <w:tc>
          <w:tcPr>
            <w:tcW w:w="2458" w:type="dxa"/>
            <w:tcBorders>
              <w:top w:val="single" w:color="auto" w:sz="4" w:space="0"/>
              <w:left w:val="single" w:color="auto" w:sz="4" w:space="0"/>
              <w:bottom w:val="single" w:color="auto" w:sz="4" w:space="0"/>
              <w:right w:val="single" w:color="auto" w:sz="4" w:space="0"/>
            </w:tcBorders>
          </w:tcPr>
          <w:p w14:paraId="0A8B1AB7">
            <w:pPr>
              <w:spacing w:line="240" w:lineRule="exact"/>
              <w:rPr>
                <w:rFonts w:ascii="Times New Roman" w:hAnsi="Times New Roman" w:eastAsia="宋体" w:cs="Times New Roman"/>
                <w:position w:val="-3"/>
                <w:sz w:val="24"/>
              </w:rPr>
            </w:pPr>
            <w:r>
              <w:rPr>
                <w:rFonts w:hint="eastAsia" w:ascii="Times New Roman" w:hAnsi="Times New Roman" w:eastAsia="宋体" w:cs="Times New Roman"/>
                <w:position w:val="-3"/>
                <w:sz w:val="24"/>
              </w:rPr>
              <w:t>王国彦</w:t>
            </w:r>
            <w:r>
              <w:rPr>
                <w:rFonts w:ascii="Times New Roman" w:hAnsi="Times New Roman" w:eastAsia="宋体" w:cs="Times New Roman"/>
                <w:position w:val="-3"/>
                <w:sz w:val="24"/>
              </w:rPr>
              <w:t>18175557897</w:t>
            </w:r>
          </w:p>
        </w:tc>
      </w:tr>
      <w:tr w14:paraId="029C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2" w:type="dxa"/>
            <w:tcBorders>
              <w:top w:val="single" w:color="auto" w:sz="4" w:space="0"/>
              <w:left w:val="single" w:color="auto" w:sz="4" w:space="0"/>
              <w:bottom w:val="single" w:color="auto" w:sz="4" w:space="0"/>
              <w:right w:val="single" w:color="auto" w:sz="4" w:space="0"/>
            </w:tcBorders>
          </w:tcPr>
          <w:p w14:paraId="01B6A74F">
            <w:pPr>
              <w:spacing w:line="240" w:lineRule="exact"/>
              <w:jc w:val="center"/>
              <w:rPr>
                <w:rFonts w:ascii="Times New Roman" w:hAnsi="Times New Roman" w:eastAsia="宋体" w:cs="Times New Roman"/>
                <w:position w:val="-3"/>
                <w:sz w:val="24"/>
              </w:rPr>
            </w:pPr>
            <w:r>
              <w:rPr>
                <w:rFonts w:ascii="Times New Roman" w:hAnsi="Times New Roman" w:eastAsia="宋体" w:cs="Times New Roman"/>
                <w:position w:val="-3"/>
                <w:sz w:val="24"/>
              </w:rPr>
              <w:t>岳阳市中心医院</w:t>
            </w:r>
          </w:p>
        </w:tc>
        <w:tc>
          <w:tcPr>
            <w:tcW w:w="2002" w:type="dxa"/>
            <w:tcBorders>
              <w:top w:val="single" w:color="auto" w:sz="4" w:space="0"/>
              <w:left w:val="single" w:color="auto" w:sz="4" w:space="0"/>
              <w:bottom w:val="single" w:color="auto" w:sz="4" w:space="0"/>
              <w:right w:val="single" w:color="auto" w:sz="4" w:space="0"/>
            </w:tcBorders>
          </w:tcPr>
          <w:p w14:paraId="1275E098">
            <w:pPr>
              <w:spacing w:line="240" w:lineRule="exact"/>
              <w:rPr>
                <w:rFonts w:hint="eastAsia" w:ascii="Times New Roman" w:hAnsi="Times New Roman" w:eastAsia="宋体" w:cs="Times New Roman"/>
                <w:position w:val="-3"/>
                <w:sz w:val="24"/>
              </w:rPr>
            </w:pPr>
            <w:r>
              <w:rPr>
                <w:rFonts w:hint="eastAsia" w:ascii="Times New Roman" w:hAnsi="Times New Roman" w:eastAsia="宋体" w:cs="Times New Roman"/>
                <w:position w:val="-3"/>
                <w:sz w:val="24"/>
              </w:rPr>
              <w:t>血管骨骼化解剖技术、腔内心电图定位</w:t>
            </w:r>
          </w:p>
        </w:tc>
        <w:tc>
          <w:tcPr>
            <w:tcW w:w="2358" w:type="dxa"/>
            <w:tcBorders>
              <w:top w:val="single" w:color="auto" w:sz="4" w:space="0"/>
              <w:left w:val="single" w:color="auto" w:sz="4" w:space="0"/>
              <w:bottom w:val="single" w:color="auto" w:sz="4" w:space="0"/>
              <w:right w:val="single" w:color="auto" w:sz="4" w:space="0"/>
            </w:tcBorders>
          </w:tcPr>
          <w:p w14:paraId="587C26C3">
            <w:pPr>
              <w:spacing w:line="240" w:lineRule="exact"/>
              <w:rPr>
                <w:rFonts w:ascii="Times New Roman" w:hAnsi="Times New Roman" w:eastAsia="宋体" w:cs="Times New Roman"/>
                <w:position w:val="-3"/>
                <w:sz w:val="24"/>
              </w:rPr>
            </w:pPr>
            <w:r>
              <w:rPr>
                <w:rFonts w:hint="eastAsia" w:ascii="Times New Roman" w:hAnsi="Times New Roman" w:eastAsia="宋体" w:cs="Times New Roman"/>
                <w:position w:val="-3"/>
                <w:sz w:val="24"/>
              </w:rPr>
              <w:t>2023年1月-2024年12月</w:t>
            </w:r>
          </w:p>
        </w:tc>
        <w:tc>
          <w:tcPr>
            <w:tcW w:w="2458" w:type="dxa"/>
            <w:tcBorders>
              <w:top w:val="single" w:color="auto" w:sz="4" w:space="0"/>
              <w:left w:val="single" w:color="auto" w:sz="4" w:space="0"/>
              <w:bottom w:val="single" w:color="auto" w:sz="4" w:space="0"/>
              <w:right w:val="single" w:color="auto" w:sz="4" w:space="0"/>
            </w:tcBorders>
          </w:tcPr>
          <w:p w14:paraId="5F643B6F">
            <w:pPr>
              <w:spacing w:line="240" w:lineRule="exact"/>
              <w:rPr>
                <w:rFonts w:hint="eastAsia" w:ascii="Times New Roman" w:hAnsi="Times New Roman" w:eastAsia="宋体" w:cs="Times New Roman"/>
                <w:position w:val="-3"/>
                <w:sz w:val="24"/>
              </w:rPr>
            </w:pPr>
            <w:r>
              <w:rPr>
                <w:rFonts w:hint="eastAsia" w:ascii="Times New Roman" w:hAnsi="Times New Roman" w:eastAsia="宋体" w:cs="Times New Roman"/>
                <w:position w:val="-3"/>
                <w:sz w:val="24"/>
              </w:rPr>
              <w:t>耿秀文</w:t>
            </w:r>
            <w:r>
              <w:rPr>
                <w:rFonts w:ascii="Times New Roman" w:hAnsi="Times New Roman" w:eastAsia="宋体" w:cs="Times New Roman"/>
                <w:position w:val="-3"/>
                <w:sz w:val="24"/>
              </w:rPr>
              <w:t>18073066675</w:t>
            </w:r>
          </w:p>
        </w:tc>
      </w:tr>
      <w:tr w14:paraId="0AE5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2" w:type="dxa"/>
            <w:tcBorders>
              <w:top w:val="single" w:color="auto" w:sz="4" w:space="0"/>
              <w:left w:val="single" w:color="auto" w:sz="4" w:space="0"/>
              <w:bottom w:val="single" w:color="auto" w:sz="4" w:space="0"/>
              <w:right w:val="single" w:color="auto" w:sz="4" w:space="0"/>
            </w:tcBorders>
          </w:tcPr>
          <w:p w14:paraId="75BD4CF9">
            <w:pPr>
              <w:spacing w:line="240" w:lineRule="exact"/>
              <w:jc w:val="center"/>
              <w:rPr>
                <w:rFonts w:ascii="Times New Roman" w:hAnsi="Times New Roman" w:eastAsia="宋体" w:cs="Times New Roman"/>
                <w:position w:val="-3"/>
                <w:sz w:val="24"/>
              </w:rPr>
            </w:pPr>
            <w:r>
              <w:rPr>
                <w:rFonts w:ascii="Times New Roman" w:hAnsi="Times New Roman" w:eastAsia="宋体" w:cs="Times New Roman"/>
                <w:position w:val="-3"/>
                <w:sz w:val="24"/>
              </w:rPr>
              <w:t>湖南妇女儿童医院</w:t>
            </w:r>
          </w:p>
        </w:tc>
        <w:tc>
          <w:tcPr>
            <w:tcW w:w="2002" w:type="dxa"/>
            <w:tcBorders>
              <w:top w:val="single" w:color="auto" w:sz="4" w:space="0"/>
              <w:left w:val="single" w:color="auto" w:sz="4" w:space="0"/>
              <w:bottom w:val="single" w:color="auto" w:sz="4" w:space="0"/>
              <w:right w:val="single" w:color="auto" w:sz="4" w:space="0"/>
            </w:tcBorders>
          </w:tcPr>
          <w:p w14:paraId="7B18F22A">
            <w:pPr>
              <w:spacing w:line="240" w:lineRule="exact"/>
              <w:rPr>
                <w:rFonts w:hint="eastAsia" w:ascii="Times New Roman" w:hAnsi="Times New Roman" w:eastAsia="宋体" w:cs="Times New Roman"/>
                <w:position w:val="-3"/>
                <w:sz w:val="24"/>
              </w:rPr>
            </w:pPr>
            <w:bookmarkStart w:id="2" w:name="OLE_LINK2"/>
            <w:r>
              <w:rPr>
                <w:rFonts w:hint="eastAsia" w:ascii="Times New Roman" w:hAnsi="Times New Roman" w:eastAsia="宋体" w:cs="Times New Roman"/>
                <w:position w:val="-3"/>
                <w:sz w:val="24"/>
              </w:rPr>
              <w:t>血管骨骼化解剖技术</w:t>
            </w:r>
            <w:bookmarkEnd w:id="2"/>
          </w:p>
        </w:tc>
        <w:tc>
          <w:tcPr>
            <w:tcW w:w="2358" w:type="dxa"/>
            <w:tcBorders>
              <w:top w:val="single" w:color="auto" w:sz="4" w:space="0"/>
              <w:left w:val="single" w:color="auto" w:sz="4" w:space="0"/>
              <w:bottom w:val="single" w:color="auto" w:sz="4" w:space="0"/>
              <w:right w:val="single" w:color="auto" w:sz="4" w:space="0"/>
            </w:tcBorders>
          </w:tcPr>
          <w:p w14:paraId="40D112C9">
            <w:pPr>
              <w:spacing w:line="240" w:lineRule="exact"/>
              <w:rPr>
                <w:rFonts w:hint="eastAsia" w:ascii="Times New Roman" w:hAnsi="Times New Roman" w:eastAsia="宋体" w:cs="Times New Roman"/>
                <w:position w:val="-3"/>
                <w:sz w:val="24"/>
              </w:rPr>
            </w:pPr>
            <w:r>
              <w:rPr>
                <w:rFonts w:hint="eastAsia" w:ascii="Times New Roman" w:hAnsi="Times New Roman" w:eastAsia="宋体" w:cs="Times New Roman"/>
                <w:position w:val="-3"/>
                <w:sz w:val="24"/>
              </w:rPr>
              <w:t>2024年1月-2024年12月</w:t>
            </w:r>
          </w:p>
        </w:tc>
        <w:tc>
          <w:tcPr>
            <w:tcW w:w="2458" w:type="dxa"/>
            <w:tcBorders>
              <w:top w:val="single" w:color="auto" w:sz="4" w:space="0"/>
              <w:left w:val="single" w:color="auto" w:sz="4" w:space="0"/>
              <w:bottom w:val="single" w:color="auto" w:sz="4" w:space="0"/>
              <w:right w:val="single" w:color="auto" w:sz="4" w:space="0"/>
            </w:tcBorders>
          </w:tcPr>
          <w:p w14:paraId="2FD46E93">
            <w:pPr>
              <w:spacing w:line="240" w:lineRule="exact"/>
              <w:rPr>
                <w:rFonts w:hint="eastAsia" w:ascii="Times New Roman" w:hAnsi="Times New Roman" w:eastAsia="宋体" w:cs="Times New Roman"/>
                <w:position w:val="-3"/>
                <w:sz w:val="24"/>
              </w:rPr>
            </w:pPr>
            <w:r>
              <w:rPr>
                <w:rFonts w:hint="eastAsia" w:ascii="Times New Roman" w:hAnsi="Times New Roman" w:eastAsia="宋体" w:cs="Times New Roman"/>
                <w:position w:val="-3"/>
                <w:sz w:val="24"/>
              </w:rPr>
              <w:t>周小渔</w:t>
            </w:r>
            <w:r>
              <w:rPr>
                <w:rFonts w:ascii="Times New Roman" w:hAnsi="Times New Roman" w:eastAsia="宋体" w:cs="Times New Roman"/>
                <w:position w:val="-3"/>
                <w:sz w:val="24"/>
              </w:rPr>
              <w:t>18142601005</w:t>
            </w:r>
          </w:p>
        </w:tc>
      </w:tr>
    </w:tbl>
    <w:p w14:paraId="7C57CB43">
      <w:pPr>
        <w:ind w:firstLine="1400" w:firstLineChars="500"/>
        <w:rPr>
          <w:rFonts w:ascii="Times New Roman" w:hAnsi="Times New Roman" w:eastAsia="黑体"/>
          <w:position w:val="-3"/>
          <w:sz w:val="28"/>
          <w:szCs w:val="28"/>
        </w:rPr>
      </w:pPr>
      <w:r>
        <w:rPr>
          <w:rFonts w:hint="eastAsia" w:ascii="Times New Roman" w:hAnsi="Times New Roman" w:eastAsia="黑体"/>
          <w:position w:val="-3"/>
          <w:sz w:val="28"/>
          <w:szCs w:val="28"/>
        </w:rPr>
        <w:t>九、</w:t>
      </w:r>
      <w:r>
        <w:rPr>
          <w:rFonts w:ascii="Times New Roman" w:hAnsi="Times New Roman" w:eastAsia="黑体"/>
          <w:position w:val="-3"/>
          <w:sz w:val="28"/>
          <w:szCs w:val="28"/>
        </w:rPr>
        <w:t>科普作品（仅限</w:t>
      </w:r>
      <w:r>
        <w:rPr>
          <w:rFonts w:hint="eastAsia" w:ascii="Times New Roman" w:hAnsi="Times New Roman"/>
          <w:sz w:val="28"/>
          <w:szCs w:val="28"/>
        </w:rPr>
        <w:t>医学科学技术奖科普项目</w:t>
      </w:r>
      <w:r>
        <w:rPr>
          <w:rFonts w:ascii="Times New Roman" w:hAnsi="Times New Roman" w:eastAsia="黑体"/>
          <w:position w:val="-3"/>
          <w:sz w:val="28"/>
          <w:szCs w:val="28"/>
        </w:rPr>
        <w:t>填写）</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4210"/>
        <w:gridCol w:w="2017"/>
        <w:gridCol w:w="2017"/>
      </w:tblGrid>
      <w:tr w14:paraId="4691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51" w:type="pct"/>
            <w:vAlign w:val="center"/>
          </w:tcPr>
          <w:p w14:paraId="1E0110E2">
            <w:pPr>
              <w:jc w:val="center"/>
              <w:rPr>
                <w:rFonts w:ascii="Times New Roman" w:hAnsi="Times New Roman" w:eastAsia="宋体" w:cs="Times New Roman"/>
                <w:color w:val="000000" w:themeColor="text1"/>
                <w:kern w:val="0"/>
                <w:sz w:val="22"/>
                <w:szCs w:val="22"/>
                <w14:textFill>
                  <w14:solidFill>
                    <w14:schemeClr w14:val="tx1"/>
                  </w14:solidFill>
                </w14:textFill>
              </w:rPr>
            </w:pPr>
            <w:r>
              <w:rPr>
                <w:rFonts w:ascii="Times New Roman" w:hAnsi="Times New Roman" w:eastAsia="宋体" w:cs="Times New Roman"/>
                <w:color w:val="000000" w:themeColor="text1"/>
                <w:kern w:val="0"/>
                <w:sz w:val="22"/>
                <w:szCs w:val="22"/>
                <w14:textFill>
                  <w14:solidFill>
                    <w14:schemeClr w14:val="tx1"/>
                  </w14:solidFill>
                </w14:textFill>
              </w:rPr>
              <w:t>序号</w:t>
            </w:r>
          </w:p>
        </w:tc>
        <w:tc>
          <w:tcPr>
            <w:tcW w:w="2323" w:type="pct"/>
            <w:tcBorders>
              <w:right w:val="single" w:color="auto" w:sz="4" w:space="0"/>
            </w:tcBorders>
            <w:vAlign w:val="center"/>
          </w:tcPr>
          <w:p w14:paraId="18AACA4D">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r>
              <w:rPr>
                <w:rFonts w:ascii="Times New Roman" w:hAnsi="Times New Roman" w:eastAsia="宋体" w:cs="Times New Roman"/>
                <w:color w:val="000000" w:themeColor="text1"/>
                <w:kern w:val="0"/>
                <w:sz w:val="22"/>
                <w:szCs w:val="22"/>
                <w14:textFill>
                  <w14:solidFill>
                    <w14:schemeClr w14:val="tx1"/>
                  </w14:solidFill>
                </w14:textFill>
              </w:rPr>
              <w:t>科普作品名称</w:t>
            </w:r>
          </w:p>
        </w:tc>
        <w:tc>
          <w:tcPr>
            <w:tcW w:w="1113" w:type="pct"/>
            <w:tcBorders>
              <w:right w:val="single" w:color="auto" w:sz="4" w:space="0"/>
            </w:tcBorders>
            <w:vAlign w:val="center"/>
          </w:tcPr>
          <w:p w14:paraId="4464EB55">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r>
              <w:rPr>
                <w:rFonts w:ascii="Times New Roman" w:hAnsi="Times New Roman" w:eastAsia="宋体" w:cs="Times New Roman"/>
                <w:color w:val="000000" w:themeColor="text1"/>
                <w:kern w:val="0"/>
                <w:sz w:val="22"/>
                <w:szCs w:val="22"/>
                <w14:textFill>
                  <w14:solidFill>
                    <w14:schemeClr w14:val="tx1"/>
                  </w14:solidFill>
                </w14:textFill>
              </w:rPr>
              <w:t>发行量</w:t>
            </w:r>
          </w:p>
        </w:tc>
        <w:tc>
          <w:tcPr>
            <w:tcW w:w="1113" w:type="pct"/>
            <w:tcBorders>
              <w:right w:val="single" w:color="auto" w:sz="4" w:space="0"/>
            </w:tcBorders>
            <w:vAlign w:val="center"/>
          </w:tcPr>
          <w:p w14:paraId="57884A65">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r>
              <w:rPr>
                <w:rFonts w:ascii="Times New Roman" w:hAnsi="Times New Roman" w:eastAsia="宋体" w:cs="Times New Roman"/>
                <w:color w:val="000000" w:themeColor="text1"/>
                <w:kern w:val="0"/>
                <w:sz w:val="22"/>
                <w:szCs w:val="22"/>
                <w14:textFill>
                  <w14:solidFill>
                    <w14:schemeClr w14:val="tx1"/>
                  </w14:solidFill>
                </w14:textFill>
              </w:rPr>
              <w:t>再版次数</w:t>
            </w:r>
          </w:p>
        </w:tc>
      </w:tr>
      <w:tr w14:paraId="1D9D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51" w:type="pct"/>
            <w:vAlign w:val="center"/>
          </w:tcPr>
          <w:p w14:paraId="398743AF">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r>
              <w:rPr>
                <w:rFonts w:ascii="Times New Roman" w:hAnsi="Times New Roman" w:eastAsia="宋体" w:cs="Times New Roman"/>
                <w:color w:val="000000" w:themeColor="text1"/>
                <w:kern w:val="0"/>
                <w:sz w:val="22"/>
                <w:szCs w:val="22"/>
                <w14:textFill>
                  <w14:solidFill>
                    <w14:schemeClr w14:val="tx1"/>
                  </w14:solidFill>
                </w14:textFill>
              </w:rPr>
              <w:t>1</w:t>
            </w:r>
          </w:p>
        </w:tc>
        <w:tc>
          <w:tcPr>
            <w:tcW w:w="2323" w:type="pct"/>
            <w:tcBorders>
              <w:right w:val="single" w:color="auto" w:sz="4" w:space="0"/>
            </w:tcBorders>
            <w:vAlign w:val="center"/>
          </w:tcPr>
          <w:p w14:paraId="23A50571">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r>
              <w:rPr>
                <w:rFonts w:hint="eastAsia" w:ascii="Times New Roman" w:hAnsi="Times New Roman" w:eastAsia="宋体" w:cs="Times New Roman"/>
                <w:color w:val="000000" w:themeColor="text1"/>
                <w:kern w:val="0"/>
                <w:sz w:val="22"/>
                <w:szCs w:val="22"/>
                <w14:textFill>
                  <w14:solidFill>
                    <w14:schemeClr w14:val="tx1"/>
                  </w14:solidFill>
                </w14:textFill>
              </w:rPr>
              <w:t>无</w:t>
            </w:r>
          </w:p>
        </w:tc>
        <w:tc>
          <w:tcPr>
            <w:tcW w:w="1113" w:type="pct"/>
            <w:tcBorders>
              <w:right w:val="single" w:color="auto" w:sz="4" w:space="0"/>
            </w:tcBorders>
            <w:vAlign w:val="center"/>
          </w:tcPr>
          <w:p w14:paraId="7735352B">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p>
        </w:tc>
        <w:tc>
          <w:tcPr>
            <w:tcW w:w="1113" w:type="pct"/>
            <w:tcBorders>
              <w:right w:val="single" w:color="auto" w:sz="4" w:space="0"/>
            </w:tcBorders>
            <w:vAlign w:val="center"/>
          </w:tcPr>
          <w:p w14:paraId="2A8B7AC6">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p>
        </w:tc>
      </w:tr>
      <w:tr w14:paraId="32AF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51" w:type="pct"/>
            <w:vAlign w:val="center"/>
          </w:tcPr>
          <w:p w14:paraId="7B5095F1">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r>
              <w:rPr>
                <w:rFonts w:ascii="Times New Roman" w:hAnsi="Times New Roman" w:eastAsia="宋体" w:cs="Times New Roman"/>
                <w:color w:val="000000" w:themeColor="text1"/>
                <w:kern w:val="0"/>
                <w:sz w:val="22"/>
                <w:szCs w:val="22"/>
                <w14:textFill>
                  <w14:solidFill>
                    <w14:schemeClr w14:val="tx1"/>
                  </w14:solidFill>
                </w14:textFill>
              </w:rPr>
              <w:t>2</w:t>
            </w:r>
          </w:p>
        </w:tc>
        <w:tc>
          <w:tcPr>
            <w:tcW w:w="2323" w:type="pct"/>
            <w:tcBorders>
              <w:right w:val="single" w:color="auto" w:sz="4" w:space="0"/>
            </w:tcBorders>
            <w:vAlign w:val="center"/>
          </w:tcPr>
          <w:p w14:paraId="3679AFC4">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p>
        </w:tc>
        <w:tc>
          <w:tcPr>
            <w:tcW w:w="1113" w:type="pct"/>
            <w:tcBorders>
              <w:right w:val="single" w:color="auto" w:sz="4" w:space="0"/>
            </w:tcBorders>
            <w:vAlign w:val="center"/>
          </w:tcPr>
          <w:p w14:paraId="41B9C9EA">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p>
        </w:tc>
        <w:tc>
          <w:tcPr>
            <w:tcW w:w="1113" w:type="pct"/>
            <w:tcBorders>
              <w:right w:val="single" w:color="auto" w:sz="4" w:space="0"/>
            </w:tcBorders>
            <w:vAlign w:val="center"/>
          </w:tcPr>
          <w:p w14:paraId="6D996E1E">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p>
        </w:tc>
      </w:tr>
      <w:tr w14:paraId="0808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51" w:type="pct"/>
            <w:vAlign w:val="center"/>
          </w:tcPr>
          <w:p w14:paraId="6C5939C8">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r>
              <w:rPr>
                <w:rFonts w:ascii="Times New Roman" w:hAnsi="Times New Roman" w:eastAsia="宋体" w:cs="Times New Roman"/>
                <w:color w:val="000000" w:themeColor="text1"/>
                <w:kern w:val="0"/>
                <w:sz w:val="22"/>
                <w:szCs w:val="22"/>
                <w14:textFill>
                  <w14:solidFill>
                    <w14:schemeClr w14:val="tx1"/>
                  </w14:solidFill>
                </w14:textFill>
              </w:rPr>
              <w:t>3</w:t>
            </w:r>
          </w:p>
        </w:tc>
        <w:tc>
          <w:tcPr>
            <w:tcW w:w="2323" w:type="pct"/>
            <w:tcBorders>
              <w:right w:val="single" w:color="auto" w:sz="4" w:space="0"/>
            </w:tcBorders>
            <w:vAlign w:val="center"/>
          </w:tcPr>
          <w:p w14:paraId="59466927">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p>
        </w:tc>
        <w:tc>
          <w:tcPr>
            <w:tcW w:w="1113" w:type="pct"/>
            <w:tcBorders>
              <w:right w:val="single" w:color="auto" w:sz="4" w:space="0"/>
            </w:tcBorders>
            <w:vAlign w:val="center"/>
          </w:tcPr>
          <w:p w14:paraId="1148224D">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p>
        </w:tc>
        <w:tc>
          <w:tcPr>
            <w:tcW w:w="1113" w:type="pct"/>
            <w:tcBorders>
              <w:right w:val="single" w:color="auto" w:sz="4" w:space="0"/>
            </w:tcBorders>
            <w:vAlign w:val="center"/>
          </w:tcPr>
          <w:p w14:paraId="16DA21B5">
            <w:pPr>
              <w:pStyle w:val="2"/>
              <w:spacing w:line="390" w:lineRule="exact"/>
              <w:jc w:val="center"/>
              <w:rPr>
                <w:rFonts w:ascii="Times New Roman" w:hAnsi="Times New Roman" w:eastAsia="宋体" w:cs="Times New Roman"/>
                <w:color w:val="000000" w:themeColor="text1"/>
                <w:kern w:val="0"/>
                <w:sz w:val="22"/>
                <w:szCs w:val="22"/>
                <w14:textFill>
                  <w14:solidFill>
                    <w14:schemeClr w14:val="tx1"/>
                  </w14:solidFill>
                </w14:textFill>
              </w:rPr>
            </w:pPr>
          </w:p>
        </w:tc>
      </w:tr>
    </w:tbl>
    <w:p w14:paraId="4E6FEA81">
      <w:pPr>
        <w:rPr>
          <w:rFonts w:ascii="Times New Roman" w:hAnsi="Times New Roman" w:eastAsia="黑体"/>
          <w:position w:val="-3"/>
          <w:sz w:val="28"/>
          <w:szCs w:val="28"/>
        </w:rPr>
      </w:pPr>
    </w:p>
    <w:p w14:paraId="2BF0036B">
      <w:pPr>
        <w:jc w:val="center"/>
        <w:rPr>
          <w:rFonts w:ascii="Times New Roman" w:hAnsi="Times New Roman" w:eastAsia="黑体"/>
          <w:position w:val="-3"/>
          <w:sz w:val="28"/>
          <w:szCs w:val="28"/>
        </w:rPr>
      </w:pPr>
      <w:r>
        <w:rPr>
          <w:rFonts w:hint="eastAsia" w:ascii="Times New Roman" w:hAnsi="Times New Roman" w:eastAsia="黑体"/>
          <w:position w:val="-3"/>
          <w:sz w:val="28"/>
          <w:szCs w:val="28"/>
        </w:rPr>
        <w:t>十、完成人情况</w:t>
      </w:r>
    </w:p>
    <w:p w14:paraId="76F49F4F">
      <w:pPr>
        <w:pStyle w:val="9"/>
        <w:numPr>
          <w:ilvl w:val="0"/>
          <w:numId w:val="4"/>
        </w:numPr>
        <w:spacing w:line="360" w:lineRule="auto"/>
        <w:ind w:firstLineChars="0"/>
        <w:rPr>
          <w:rFonts w:ascii="Times New Roman" w:hAnsi="Times New Roman" w:eastAsia="宋体" w:cs="Times New Roman"/>
          <w:position w:val="-3"/>
          <w:sz w:val="24"/>
        </w:rPr>
      </w:pPr>
      <w:r>
        <w:rPr>
          <w:rFonts w:ascii="Times New Roman" w:hAnsi="Times New Roman" w:eastAsia="宋体" w:cs="Times New Roman"/>
          <w:position w:val="-3"/>
          <w:sz w:val="24"/>
        </w:rPr>
        <w:t>第一完成人，李勇，主任医师，副院长，湖南省儿童医院，为项目负责人，负责项目总设计实施、总结管理及推广应用，全面主持项目工作，参与全部科技创新工作。参与完成代表性论文1-3，6-10。</w:t>
      </w:r>
    </w:p>
    <w:p w14:paraId="17D0B6DD">
      <w:pPr>
        <w:pStyle w:val="9"/>
        <w:numPr>
          <w:ilvl w:val="0"/>
          <w:numId w:val="4"/>
        </w:numPr>
        <w:spacing w:line="360" w:lineRule="auto"/>
        <w:ind w:firstLineChars="0"/>
        <w:rPr>
          <w:rFonts w:ascii="Times New Roman" w:hAnsi="Times New Roman" w:eastAsia="宋体" w:cs="Times New Roman"/>
          <w:position w:val="-3"/>
          <w:sz w:val="24"/>
        </w:rPr>
      </w:pPr>
      <w:r>
        <w:rPr>
          <w:rFonts w:ascii="Times New Roman" w:hAnsi="Times New Roman" w:eastAsia="宋体" w:cs="Times New Roman"/>
          <w:position w:val="-3"/>
          <w:sz w:val="24"/>
        </w:rPr>
        <w:t>第二完成人，周文虎，教授，副院长，中南大学，主要负责完成项目创新点3。参与完成代表性论文9-11。</w:t>
      </w:r>
    </w:p>
    <w:p w14:paraId="0F351935">
      <w:pPr>
        <w:pStyle w:val="2"/>
        <w:numPr>
          <w:ilvl w:val="0"/>
          <w:numId w:val="4"/>
        </w:numPr>
        <w:spacing w:line="360" w:lineRule="auto"/>
        <w:rPr>
          <w:rFonts w:ascii="Times New Roman" w:hAnsi="Times New Roman" w:eastAsia="宋体" w:cs="Times New Roman"/>
          <w:sz w:val="24"/>
        </w:rPr>
      </w:pPr>
      <w:r>
        <w:rPr>
          <w:rFonts w:ascii="Times New Roman" w:hAnsi="Times New Roman" w:eastAsia="宋体" w:cs="Times New Roman"/>
          <w:position w:val="-3"/>
          <w:sz w:val="24"/>
        </w:rPr>
        <w:t>第三完成人，周海燕，副教授，</w:t>
      </w:r>
      <w:bookmarkStart w:id="3" w:name="OLE_LINK32"/>
      <w:r>
        <w:rPr>
          <w:rFonts w:ascii="Times New Roman" w:hAnsi="Times New Roman" w:eastAsia="宋体" w:cs="Times New Roman"/>
          <w:position w:val="-3"/>
          <w:sz w:val="24"/>
        </w:rPr>
        <w:t>无职务</w:t>
      </w:r>
      <w:bookmarkEnd w:id="3"/>
      <w:r>
        <w:rPr>
          <w:rFonts w:ascii="Times New Roman" w:hAnsi="Times New Roman" w:eastAsia="宋体" w:cs="Times New Roman"/>
          <w:position w:val="-3"/>
          <w:sz w:val="24"/>
        </w:rPr>
        <w:t>，中南大学，</w:t>
      </w:r>
      <w:r>
        <w:rPr>
          <w:rFonts w:ascii="Times New Roman" w:hAnsi="Times New Roman" w:eastAsia="宋体" w:cs="Times New Roman"/>
          <w:sz w:val="24"/>
        </w:rPr>
        <w:t>参与完成项目创新点3。参与完成代表性论文11。</w:t>
      </w:r>
    </w:p>
    <w:p w14:paraId="109DEC31">
      <w:pPr>
        <w:pStyle w:val="9"/>
        <w:numPr>
          <w:ilvl w:val="0"/>
          <w:numId w:val="4"/>
        </w:numPr>
        <w:spacing w:line="360" w:lineRule="auto"/>
        <w:ind w:firstLineChars="0"/>
        <w:rPr>
          <w:rFonts w:ascii="Times New Roman" w:hAnsi="Times New Roman" w:eastAsia="宋体" w:cs="Times New Roman"/>
          <w:sz w:val="24"/>
        </w:rPr>
      </w:pPr>
      <w:r>
        <w:rPr>
          <w:rFonts w:ascii="Times New Roman" w:hAnsi="Times New Roman" w:eastAsia="宋体" w:cs="Times New Roman"/>
          <w:position w:val="-3"/>
          <w:sz w:val="24"/>
        </w:rPr>
        <w:t>第四完成人，贺静，研究员，党支部书记，广州医科大学附属妇女儿童医疗中心，</w:t>
      </w:r>
      <w:r>
        <w:rPr>
          <w:rFonts w:ascii="Times New Roman" w:hAnsi="Times New Roman" w:eastAsia="宋体" w:cs="Times New Roman"/>
          <w:sz w:val="24"/>
        </w:rPr>
        <w:t>参与完成项目创新点1。参与完成代表性论文1，作为负责人完成项广东省科技计划项目1项。作为主编完成论著2篇。</w:t>
      </w:r>
    </w:p>
    <w:p w14:paraId="6FE099B0">
      <w:pPr>
        <w:pStyle w:val="2"/>
        <w:numPr>
          <w:ilvl w:val="0"/>
          <w:numId w:val="4"/>
        </w:numPr>
        <w:spacing w:line="360" w:lineRule="auto"/>
        <w:rPr>
          <w:rFonts w:ascii="Times New Roman" w:hAnsi="Times New Roman" w:eastAsia="宋体" w:cs="Times New Roman"/>
          <w:sz w:val="24"/>
        </w:rPr>
      </w:pPr>
      <w:r>
        <w:rPr>
          <w:rFonts w:ascii="Times New Roman" w:hAnsi="Times New Roman" w:eastAsia="宋体" w:cs="Times New Roman"/>
          <w:sz w:val="24"/>
        </w:rPr>
        <w:t>第五完成人，刘赞，副主任医师，科副主任，湖南省儿童医院，主要参与创新点1和2的工作。提交材料中，参与完成代表性论文2，6，7，8。</w:t>
      </w:r>
    </w:p>
    <w:p w14:paraId="71FBDA72">
      <w:pPr>
        <w:pStyle w:val="9"/>
        <w:numPr>
          <w:ilvl w:val="0"/>
          <w:numId w:val="4"/>
        </w:numPr>
        <w:spacing w:line="360" w:lineRule="auto"/>
        <w:ind w:firstLineChars="0"/>
        <w:rPr>
          <w:rFonts w:ascii="Times New Roman" w:hAnsi="Times New Roman" w:eastAsia="宋体" w:cs="Times New Roman"/>
          <w:sz w:val="24"/>
        </w:rPr>
      </w:pPr>
      <w:r>
        <w:rPr>
          <w:rFonts w:ascii="Times New Roman" w:hAnsi="Times New Roman" w:eastAsia="宋体" w:cs="Times New Roman"/>
          <w:position w:val="-3"/>
          <w:sz w:val="24"/>
        </w:rPr>
        <w:t>第六完成人，黎明，副主任医师，无职务，湖南省儿童医院，参</w:t>
      </w:r>
      <w:r>
        <w:rPr>
          <w:rFonts w:ascii="Times New Roman" w:hAnsi="Times New Roman" w:eastAsia="宋体" w:cs="Times New Roman"/>
          <w:sz w:val="24"/>
        </w:rPr>
        <w:t>与项目创新点1和2。参与完成代表性论文2，6-8。作为负责人完成湖南省科技厅创新引导项目1项，湖南省卫生健康委员会课题1项。</w:t>
      </w:r>
    </w:p>
    <w:p w14:paraId="4558802D">
      <w:pPr>
        <w:pStyle w:val="2"/>
        <w:numPr>
          <w:ilvl w:val="0"/>
          <w:numId w:val="4"/>
        </w:numPr>
        <w:spacing w:line="360" w:lineRule="auto"/>
        <w:rPr>
          <w:rFonts w:ascii="Times New Roman" w:hAnsi="Times New Roman" w:eastAsia="宋体" w:cs="Times New Roman"/>
          <w:sz w:val="24"/>
        </w:rPr>
      </w:pPr>
      <w:r>
        <w:rPr>
          <w:rFonts w:ascii="Times New Roman" w:hAnsi="Times New Roman" w:eastAsia="宋体" w:cs="Times New Roman"/>
          <w:sz w:val="24"/>
        </w:rPr>
        <w:t>第七完成人，刘登辉，副主任医师，</w:t>
      </w:r>
      <w:r>
        <w:rPr>
          <w:rFonts w:ascii="Times New Roman" w:hAnsi="Times New Roman" w:eastAsia="宋体" w:cs="Times New Roman"/>
          <w:position w:val="-3"/>
          <w:sz w:val="24"/>
        </w:rPr>
        <w:t>无职务</w:t>
      </w:r>
      <w:r>
        <w:rPr>
          <w:rFonts w:ascii="Times New Roman" w:hAnsi="Times New Roman" w:eastAsia="宋体" w:cs="Times New Roman"/>
          <w:sz w:val="24"/>
        </w:rPr>
        <w:t>，湖南省儿童医院，参与完成本项目创新点1和2。参与完成代表性论文3-5，7，8。作为负责人完成1项湖南省卫生计生委课题。</w:t>
      </w:r>
    </w:p>
    <w:p w14:paraId="50E9E844">
      <w:pPr>
        <w:pStyle w:val="9"/>
        <w:numPr>
          <w:ilvl w:val="0"/>
          <w:numId w:val="4"/>
        </w:numPr>
        <w:spacing w:line="360" w:lineRule="auto"/>
        <w:ind w:firstLineChars="0"/>
        <w:rPr>
          <w:rFonts w:ascii="Times New Roman" w:hAnsi="Times New Roman" w:eastAsia="宋体" w:cs="Times New Roman"/>
          <w:sz w:val="24"/>
        </w:rPr>
      </w:pPr>
      <w:r>
        <w:rPr>
          <w:rFonts w:ascii="Times New Roman" w:hAnsi="Times New Roman" w:eastAsia="宋体" w:cs="Times New Roman"/>
          <w:position w:val="-3"/>
          <w:sz w:val="24"/>
        </w:rPr>
        <w:t>第八完成人，唐湘莲，副主任医师，无职务，湖南省儿童医院，</w:t>
      </w:r>
      <w:r>
        <w:rPr>
          <w:rFonts w:ascii="Times New Roman" w:hAnsi="Times New Roman" w:eastAsia="宋体" w:cs="Times New Roman"/>
          <w:sz w:val="24"/>
        </w:rPr>
        <w:t>参与完成本项目创新点1和2。参与完成代表性论文3-5，7，8。作为负责人完成1项湖南省卫生健康委员会课题。</w:t>
      </w:r>
    </w:p>
    <w:p w14:paraId="0A82B7A2">
      <w:pPr>
        <w:pStyle w:val="2"/>
        <w:numPr>
          <w:ilvl w:val="0"/>
          <w:numId w:val="4"/>
        </w:numPr>
        <w:spacing w:line="360" w:lineRule="auto"/>
        <w:rPr>
          <w:rFonts w:ascii="Times New Roman" w:hAnsi="Times New Roman" w:eastAsia="宋体" w:cs="Times New Roman"/>
          <w:sz w:val="24"/>
        </w:rPr>
      </w:pPr>
      <w:r>
        <w:rPr>
          <w:rFonts w:ascii="Times New Roman" w:hAnsi="Times New Roman" w:eastAsia="宋体" w:cs="Times New Roman"/>
          <w:sz w:val="24"/>
        </w:rPr>
        <w:t>第九完成人，向强兴，主治医师，无职务，湖南省儿童医院，</w:t>
      </w:r>
      <w:bookmarkStart w:id="4" w:name="OLE_LINK14"/>
      <w:r>
        <w:rPr>
          <w:rFonts w:ascii="Times New Roman" w:hAnsi="Times New Roman" w:eastAsia="宋体" w:cs="Times New Roman"/>
          <w:sz w:val="24"/>
        </w:rPr>
        <w:t>参与完成项目创新点1和2。参与完成代表性论文5，7，8。</w:t>
      </w:r>
      <w:bookmarkEnd w:id="4"/>
      <w:r>
        <w:rPr>
          <w:rFonts w:ascii="Times New Roman" w:hAnsi="Times New Roman" w:eastAsia="宋体" w:cs="Times New Roman"/>
          <w:sz w:val="24"/>
        </w:rPr>
        <w:t xml:space="preserve">  </w:t>
      </w:r>
    </w:p>
    <w:p w14:paraId="1C3CA3F2">
      <w:pPr>
        <w:pStyle w:val="9"/>
        <w:numPr>
          <w:ilvl w:val="0"/>
          <w:numId w:val="4"/>
        </w:numPr>
        <w:spacing w:line="360" w:lineRule="auto"/>
        <w:ind w:firstLineChars="0"/>
        <w:rPr>
          <w:rFonts w:ascii="Times New Roman" w:hAnsi="Times New Roman" w:eastAsia="宋体" w:cs="Times New Roman"/>
          <w:sz w:val="24"/>
        </w:rPr>
      </w:pPr>
      <w:r>
        <w:rPr>
          <w:rFonts w:ascii="Times New Roman" w:hAnsi="Times New Roman" w:eastAsia="宋体" w:cs="Times New Roman"/>
          <w:position w:val="-3"/>
          <w:sz w:val="24"/>
        </w:rPr>
        <w:t>第十完成人，文佳冰，主治医师，无职务，湖南省儿童医院，</w:t>
      </w:r>
      <w:r>
        <w:rPr>
          <w:rFonts w:ascii="Times New Roman" w:hAnsi="Times New Roman" w:eastAsia="宋体" w:cs="Times New Roman"/>
          <w:sz w:val="24"/>
        </w:rPr>
        <w:t>参与完成项目创新点1和2。参与完成代表性论文4，5，8。</w:t>
      </w:r>
    </w:p>
    <w:p w14:paraId="43973D4D">
      <w:pPr>
        <w:pStyle w:val="9"/>
        <w:numPr>
          <w:ilvl w:val="0"/>
          <w:numId w:val="4"/>
        </w:numPr>
        <w:spacing w:line="360" w:lineRule="auto"/>
        <w:ind w:firstLineChars="0"/>
        <w:rPr>
          <w:rFonts w:ascii="Times New Roman" w:hAnsi="Times New Roman" w:eastAsia="宋体" w:cs="Times New Roman"/>
          <w:sz w:val="24"/>
        </w:rPr>
      </w:pPr>
      <w:r>
        <w:rPr>
          <w:rFonts w:ascii="Times New Roman" w:hAnsi="Times New Roman" w:eastAsia="宋体" w:cs="Times New Roman"/>
          <w:sz w:val="24"/>
        </w:rPr>
        <w:t>第十一完成人，黄召，副主任医师，无职务，湖南省儿童医院，参与完成项目创新点1和2。参与完成代表性论文3-5，7，8。</w:t>
      </w:r>
    </w:p>
    <w:p w14:paraId="63A60C32">
      <w:pPr>
        <w:pStyle w:val="2"/>
        <w:numPr>
          <w:ilvl w:val="0"/>
          <w:numId w:val="4"/>
        </w:numPr>
        <w:spacing w:line="360" w:lineRule="auto"/>
        <w:rPr>
          <w:rFonts w:ascii="Times New Roman" w:hAnsi="Times New Roman" w:eastAsia="宋体" w:cs="Times New Roman"/>
          <w:sz w:val="24"/>
        </w:rPr>
      </w:pPr>
      <w:r>
        <w:rPr>
          <w:rFonts w:ascii="Times New Roman" w:hAnsi="Times New Roman" w:eastAsia="宋体" w:cs="Times New Roman"/>
          <w:sz w:val="24"/>
        </w:rPr>
        <w:t>第十二完成人，周宇翔，副主任医师，无职务，湖南省儿童医院，参与完成项目创新点1和2。参与完成代表性论文4，5，7，8。 作为负责人完成湖南省卫生计生委课题1项。</w:t>
      </w:r>
    </w:p>
    <w:p w14:paraId="148B2724">
      <w:pPr>
        <w:pStyle w:val="2"/>
        <w:spacing w:line="360" w:lineRule="auto"/>
        <w:rPr>
          <w:rFonts w:ascii="Times New Roman" w:hAnsi="Times New Roman" w:eastAsia="宋体" w:cs="Times New Roman"/>
          <w:sz w:val="24"/>
        </w:rPr>
      </w:pPr>
    </w:p>
    <w:p w14:paraId="0FF3E08F">
      <w:pPr>
        <w:jc w:val="center"/>
        <w:rPr>
          <w:rFonts w:ascii="Times New Roman" w:hAnsi="Times New Roman" w:eastAsia="黑体"/>
          <w:position w:val="-3"/>
          <w:sz w:val="28"/>
          <w:szCs w:val="28"/>
        </w:rPr>
      </w:pPr>
      <w:r>
        <w:rPr>
          <w:rFonts w:hint="eastAsia" w:ascii="Times New Roman" w:hAnsi="Times New Roman" w:eastAsia="黑体"/>
          <w:position w:val="-3"/>
          <w:sz w:val="28"/>
          <w:szCs w:val="28"/>
        </w:rPr>
        <w:t>十一、完成单位情况</w:t>
      </w:r>
    </w:p>
    <w:p w14:paraId="7A31521C">
      <w:pPr>
        <w:pStyle w:val="9"/>
        <w:numPr>
          <w:ilvl w:val="0"/>
          <w:numId w:val="5"/>
        </w:numPr>
        <w:spacing w:line="360" w:lineRule="auto"/>
        <w:ind w:firstLineChars="0"/>
        <w:rPr>
          <w:rFonts w:ascii="Times New Roman" w:hAnsi="Times New Roman" w:eastAsia="宋体" w:cs="Times New Roman"/>
          <w:sz w:val="24"/>
        </w:rPr>
      </w:pPr>
      <w:r>
        <w:rPr>
          <w:rFonts w:ascii="Times New Roman" w:hAnsi="Times New Roman" w:eastAsia="宋体" w:cs="Times New Roman"/>
          <w:position w:val="-3"/>
          <w:sz w:val="24"/>
        </w:rPr>
        <w:t>第一完成单位：湖南省儿童医院，</w:t>
      </w:r>
      <w:r>
        <w:rPr>
          <w:rFonts w:ascii="Times New Roman" w:hAnsi="Times New Roman" w:eastAsia="宋体" w:cs="Times New Roman"/>
          <w:sz w:val="24"/>
        </w:rPr>
        <w:t>作为本项目的第一完成单位，是项目全链条实施与成果落地的核心主体，统筹负责项目整体设计、组织实施与成果转化推广。自主完成创新点2全部研究工作：通过临床队列回顾性研究，确立新辅助化疗联合血管骨骼化手术新方案，国内率先建立腔内心电图定位输液港植入技术，形成2项安全高效的临床诊疗新技术，显著提升了神经母细胞瘤的治疗安全性和有效性；同时联合第三完成单位共同完成非遗传变异标志物的筛选、验证与体系构建；联合第二完成单位共同完成锰基纳米材料的功能验证与转化路径设计。牵头搭建多中心协作网络，统筹推动全部成果在国内多家医疗机构落地推广，构建形成神经母细胞瘤全流程精准诊疗体系，为项目全维度成果的实现与转化提供了核心支撑。</w:t>
      </w:r>
    </w:p>
    <w:p w14:paraId="737365BC">
      <w:pPr>
        <w:pStyle w:val="9"/>
        <w:numPr>
          <w:ilvl w:val="0"/>
          <w:numId w:val="5"/>
        </w:numPr>
        <w:spacing w:line="360" w:lineRule="auto"/>
        <w:ind w:firstLineChars="0"/>
        <w:rPr>
          <w:rFonts w:ascii="Times New Roman" w:hAnsi="Times New Roman" w:eastAsia="宋体" w:cs="Times New Roman"/>
          <w:sz w:val="24"/>
        </w:rPr>
      </w:pPr>
      <w:r>
        <w:rPr>
          <w:rFonts w:ascii="Times New Roman" w:hAnsi="Times New Roman" w:eastAsia="宋体" w:cs="Times New Roman"/>
          <w:sz w:val="24"/>
        </w:rPr>
        <w:t>第二完成单位，中南大学，与第一完成单位协同完成创新点 3 “锰基纳米治疗材料研发” 的核心研究工作，为项目突破难治性病例治疗瓶颈提供了关键技术支撑。负责锰基纳米材料的设计、合成与体外功能验证：针对神经母细胞瘤肿瘤微环境耐药、免疫抑制的痛点，完成3种多功能锰基纳米材料的配方设计、合成工艺优化与体外细胞水平的疗效验证，为难治复发性神经母细胞瘤提供了全新治疗策略。相关成果联合发表于纳米医学领域高水平国际期刊，被多个高水平期刊论文引用，为项目前沿治疗方向的突破提供了核心技术支撑。</w:t>
      </w:r>
    </w:p>
    <w:p w14:paraId="5C842D5A">
      <w:pPr>
        <w:pStyle w:val="9"/>
        <w:numPr>
          <w:ilvl w:val="0"/>
          <w:numId w:val="5"/>
        </w:numPr>
        <w:spacing w:line="360" w:lineRule="auto"/>
        <w:ind w:firstLineChars="0"/>
        <w:rPr>
          <w:rFonts w:ascii="Times New Roman" w:hAnsi="Times New Roman"/>
          <w:sz w:val="22"/>
          <w:szCs w:val="22"/>
        </w:rPr>
      </w:pPr>
      <w:r>
        <w:rPr>
          <w:rFonts w:ascii="Times New Roman" w:hAnsi="Times New Roman" w:eastAsia="宋体" w:cs="Times New Roman"/>
          <w:sz w:val="24"/>
        </w:rPr>
        <w:t>第三完成单位，广州医科大学附属妇女儿童医疗中心，与第一完成单位协同完成创新点1“非遗传变异类诊疗标志物体系构建” 的核心研究工作，为项目精准诊断维度的突破提供了重要支撑。负责多中心临床队列的样本采集、基因分型实验与分子机制验证工作：完成千余例受试者的样本处理与位点检测，开展标志物的表达功能验证与调控机制分析，与第一完成单位共同完成临床数据统计、风险模型构建与预后评估，最终联合建立国际首个 m1A 修饰酶基因多态性神经母细胞瘤风险预测模型，共同形成覆盖风险预测、预后分层、个体化化疗选药的1组新型分子标志物体系，为项目精准诊疗策略的构建奠定了核心基础。</w:t>
      </w:r>
    </w:p>
    <w:p w14:paraId="15A1D227">
      <w:pPr>
        <w:rPr>
          <w:rFonts w:ascii="Times New Roman" w:hAnsi="Times New Roman" w:eastAsia="宋体" w:cs="Times New Roman"/>
          <w:position w:val="-3"/>
          <w:sz w:val="24"/>
        </w:rPr>
      </w:pPr>
      <w:r>
        <w:rPr>
          <w:rFonts w:ascii="Times New Roman" w:hAnsi="Times New Roman" w:eastAsia="宋体" w:cs="Times New Roman"/>
          <w:position w:val="-3"/>
          <w:sz w:val="24"/>
        </w:rPr>
        <w:br w:type="page"/>
      </w:r>
    </w:p>
    <w:p w14:paraId="15B0D663">
      <w:pPr>
        <w:ind w:firstLine="482" w:firstLineChars="200"/>
        <w:rPr>
          <w:rFonts w:ascii="Times New Roman" w:hAnsi="Times New Roman"/>
          <w:color w:val="0D0D0D"/>
          <w:sz w:val="24"/>
        </w:rPr>
      </w:pPr>
      <w:r>
        <w:rPr>
          <w:rFonts w:ascii="Times New Roman" w:hAnsi="Times New Roman"/>
          <w:b/>
          <w:bCs/>
          <w:color w:val="0D0D0D"/>
          <w:sz w:val="24"/>
        </w:rPr>
        <w:t>1.项目名称</w:t>
      </w:r>
      <w:r>
        <w:rPr>
          <w:rFonts w:hint="eastAsia" w:ascii="Times New Roman" w:hAnsi="Times New Roman"/>
          <w:color w:val="0D0D0D"/>
          <w:sz w:val="24"/>
        </w:rPr>
        <w:t>：生长引导技术治疗儿童下肢成角畸形的临床应用研究</w:t>
      </w:r>
    </w:p>
    <w:p w14:paraId="3C1D4A10">
      <w:pPr>
        <w:ind w:firstLine="482" w:firstLineChars="200"/>
        <w:rPr>
          <w:rFonts w:ascii="Times New Roman" w:hAnsi="Times New Roman"/>
          <w:color w:val="0D0D0D"/>
          <w:sz w:val="24"/>
        </w:rPr>
      </w:pPr>
      <w:r>
        <w:rPr>
          <w:rFonts w:ascii="Times New Roman" w:hAnsi="Times New Roman"/>
          <w:b/>
          <w:bCs/>
          <w:color w:val="0D0D0D"/>
          <w:sz w:val="24"/>
        </w:rPr>
        <w:t>2.推荐单位</w:t>
      </w:r>
      <w:r>
        <w:rPr>
          <w:rFonts w:hint="eastAsia" w:ascii="Times New Roman" w:hAnsi="Times New Roman"/>
          <w:color w:val="0D0D0D"/>
          <w:sz w:val="24"/>
        </w:rPr>
        <w:t>：湖南省儿童医院</w:t>
      </w:r>
    </w:p>
    <w:p w14:paraId="4AAF2732">
      <w:pPr>
        <w:ind w:firstLine="482" w:firstLineChars="200"/>
        <w:rPr>
          <w:rFonts w:ascii="Times New Roman" w:hAnsi="Times New Roman"/>
          <w:color w:val="0D0D0D"/>
          <w:sz w:val="24"/>
        </w:rPr>
      </w:pPr>
      <w:r>
        <w:rPr>
          <w:rFonts w:ascii="Times New Roman" w:hAnsi="Times New Roman"/>
          <w:b/>
          <w:bCs/>
          <w:color w:val="0D0D0D"/>
          <w:sz w:val="24"/>
        </w:rPr>
        <w:t>3.推荐意见</w:t>
      </w:r>
      <w:r>
        <w:rPr>
          <w:rFonts w:hint="eastAsia" w:ascii="Times New Roman" w:hAnsi="Times New Roman"/>
          <w:color w:val="0D0D0D"/>
          <w:sz w:val="24"/>
        </w:rPr>
        <w:t>：“生长引导技术治疗儿童下肢成角畸形的临床应用研究”项目，针对传统截骨矫形创伤大、并发症多等难题，围绕生长引导微创治疗理念取得系统性突破：自主创新研发新型防退式“U”形钉内固定系统，获中、美发明专利，临床应用取得理想效果；首次确立内固定最佳取出时机标准，将畸形反弹率从56.2%降至22.2%；系统拓展适应证至NF1胫骨成角、马蹄内翻足等复杂领域，实现了从“被动等待骨折”向“主动引导矫形”的治疗策略转变；首次开展三种植入物头对头比较研究，为临床最优方案选择提供高级别循证证据。该项目发表论文10篇（SCI 3篇、中华系列3篇、核心4篇），获专利2项，成果已在多家医院推广应用，社会效益显著。推荐书内容真实、完整，附件齐全，无知识产权纠纷，经公示无异议。同意推荐申报医学科技奖。</w:t>
      </w:r>
    </w:p>
    <w:p w14:paraId="3C7F8BC5">
      <w:pPr>
        <w:ind w:firstLine="482" w:firstLineChars="200"/>
        <w:rPr>
          <w:rFonts w:ascii="Times New Roman" w:hAnsi="Times New Roman"/>
          <w:color w:val="0D0D0D"/>
          <w:sz w:val="24"/>
        </w:rPr>
      </w:pPr>
      <w:r>
        <w:rPr>
          <w:rFonts w:ascii="Times New Roman" w:hAnsi="Times New Roman"/>
          <w:b/>
          <w:bCs/>
          <w:color w:val="0D0D0D"/>
          <w:sz w:val="24"/>
        </w:rPr>
        <w:t>4.项目简介</w:t>
      </w:r>
      <w:r>
        <w:rPr>
          <w:rFonts w:hint="eastAsia" w:ascii="Times New Roman" w:hAnsi="Times New Roman"/>
          <w:color w:val="0D0D0D"/>
          <w:sz w:val="24"/>
        </w:rPr>
        <w:t>：</w:t>
      </w:r>
    </w:p>
    <w:p w14:paraId="4D083A36">
      <w:pPr>
        <w:ind w:firstLine="480" w:firstLineChars="200"/>
        <w:rPr>
          <w:rFonts w:hint="eastAsia" w:ascii="Times New Roman" w:hAnsi="Times New Roman"/>
          <w:color w:val="0D0D0D"/>
          <w:sz w:val="24"/>
        </w:rPr>
      </w:pPr>
      <w:r>
        <w:rPr>
          <w:rFonts w:hint="eastAsia" w:ascii="Times New Roman" w:hAnsi="Times New Roman"/>
          <w:color w:val="0D0D0D"/>
          <w:sz w:val="24"/>
        </w:rPr>
        <w:t>研究内容（目的、方法、结果）：</w:t>
      </w:r>
    </w:p>
    <w:p w14:paraId="4E71AA7B">
      <w:pPr>
        <w:ind w:firstLine="480" w:firstLineChars="200"/>
        <w:rPr>
          <w:rFonts w:hint="eastAsia" w:ascii="Times New Roman" w:hAnsi="Times New Roman"/>
          <w:color w:val="0D0D0D"/>
          <w:sz w:val="24"/>
        </w:rPr>
      </w:pPr>
      <w:r>
        <w:rPr>
          <w:rFonts w:hint="eastAsia" w:ascii="Times New Roman" w:hAnsi="Times New Roman"/>
          <w:color w:val="0D0D0D"/>
          <w:sz w:val="24"/>
        </w:rPr>
        <w:t>目的：儿童下肢成角畸形（如先天性胫骨假关节术后踝/膝外翻、胫骨前外侧弯曲、马蹄内翻足跖屈畸形）是小儿骨科的难点，传统截骨矫形创伤大、并发症多。本项目旨在系统评价并优化“生长引导技术”（半骨骺阻滞术）治疗此类畸形的临床疗效与安全性，并研发新型内固定材料。</w:t>
      </w:r>
    </w:p>
    <w:p w14:paraId="79A620B3">
      <w:pPr>
        <w:ind w:firstLine="480" w:firstLineChars="200"/>
        <w:rPr>
          <w:rFonts w:hint="eastAsia" w:ascii="Times New Roman" w:hAnsi="Times New Roman"/>
          <w:color w:val="0D0D0D"/>
          <w:sz w:val="24"/>
        </w:rPr>
      </w:pPr>
      <w:r>
        <w:rPr>
          <w:rFonts w:hint="eastAsia" w:ascii="Times New Roman" w:hAnsi="Times New Roman"/>
          <w:color w:val="0D0D0D"/>
          <w:sz w:val="24"/>
        </w:rPr>
        <w:t>方法：</w:t>
      </w:r>
    </w:p>
    <w:p w14:paraId="75416211">
      <w:pPr>
        <w:ind w:firstLine="480" w:firstLineChars="200"/>
        <w:rPr>
          <w:rFonts w:hint="eastAsia" w:ascii="Times New Roman" w:hAnsi="Times New Roman"/>
          <w:color w:val="0D0D0D"/>
          <w:sz w:val="24"/>
        </w:rPr>
      </w:pPr>
      <w:r>
        <w:rPr>
          <w:rFonts w:hint="eastAsia" w:ascii="Times New Roman" w:hAnsi="Times New Roman"/>
          <w:color w:val="0D0D0D"/>
          <w:sz w:val="24"/>
        </w:rPr>
        <w:t>技术创新：针对儿童胫骨远端内侧软组织覆盖少、骨骺窄的特点，自主研发新型“U”形钉，其具备低切迹、</w:t>
      </w:r>
    </w:p>
    <w:p w14:paraId="685C2DDE">
      <w:pPr>
        <w:ind w:firstLine="480" w:firstLineChars="200"/>
        <w:rPr>
          <w:rFonts w:hint="eastAsia" w:ascii="Times New Roman" w:hAnsi="Times New Roman"/>
          <w:color w:val="0D0D0D"/>
          <w:sz w:val="24"/>
        </w:rPr>
      </w:pPr>
      <w:r>
        <w:rPr>
          <w:rFonts w:hint="eastAsia" w:ascii="Times New Roman" w:hAnsi="Times New Roman"/>
          <w:color w:val="0D0D0D"/>
          <w:sz w:val="24"/>
        </w:rPr>
        <w:t>防退出、贴合骨皮质的优势，并基于大样本解剖测量设计了24°和30°两种规格。</w:t>
      </w:r>
    </w:p>
    <w:p w14:paraId="33589C0E">
      <w:pPr>
        <w:ind w:firstLine="480" w:firstLineChars="200"/>
        <w:rPr>
          <w:rFonts w:hint="eastAsia" w:ascii="Times New Roman" w:hAnsi="Times New Roman"/>
          <w:color w:val="0D0D0D"/>
          <w:sz w:val="24"/>
        </w:rPr>
      </w:pPr>
      <w:r>
        <w:rPr>
          <w:rFonts w:hint="eastAsia" w:ascii="Times New Roman" w:hAnsi="Times New Roman"/>
          <w:color w:val="0D0D0D"/>
          <w:sz w:val="24"/>
        </w:rPr>
        <w:t>临床应用研究：</w:t>
      </w:r>
    </w:p>
    <w:p w14:paraId="2C5BB2D2">
      <w:pPr>
        <w:ind w:firstLine="480" w:firstLineChars="200"/>
        <w:rPr>
          <w:rFonts w:hint="eastAsia" w:ascii="Times New Roman" w:hAnsi="Times New Roman"/>
          <w:color w:val="0D0D0D"/>
          <w:sz w:val="24"/>
        </w:rPr>
      </w:pPr>
      <w:r>
        <w:rPr>
          <w:rFonts w:hint="eastAsia" w:ascii="Times New Roman" w:hAnsi="Times New Roman"/>
          <w:color w:val="0D0D0D"/>
          <w:sz w:val="24"/>
        </w:rPr>
        <w:t>踝外翻畸形：应用新型“U”形钉治疗先天性胫骨假关节（CPT）术后踝外翻，并与传统空心螺钉、皮质骨螺钉进行疗效对比。矢状面跖屈畸形（马蹄足）：应用“8”字钢板行胫骨远端前侧半骨骺阻滞术，矫正儿童僵硬性马蹄内翻足跖屈畸形。</w:t>
      </w:r>
    </w:p>
    <w:p w14:paraId="600B8ED3">
      <w:pPr>
        <w:ind w:firstLine="480" w:firstLineChars="200"/>
        <w:rPr>
          <w:rFonts w:hint="eastAsia" w:ascii="Times New Roman" w:hAnsi="Times New Roman"/>
          <w:color w:val="0D0D0D"/>
          <w:sz w:val="24"/>
        </w:rPr>
      </w:pPr>
      <w:r>
        <w:rPr>
          <w:rFonts w:hint="eastAsia" w:ascii="Times New Roman" w:hAnsi="Times New Roman"/>
          <w:color w:val="0D0D0D"/>
          <w:sz w:val="24"/>
        </w:rPr>
        <w:t>胫骨前外侧成角畸形（NF1相关）：应用新型“U”形钉治疗I型神经纤维瘤病（NF1）儿童胫骨前外侧成角畸形，评估其预防骨折和矫正畸形的效果。</w:t>
      </w:r>
    </w:p>
    <w:p w14:paraId="7C0A6F60">
      <w:pPr>
        <w:ind w:firstLine="480" w:firstLineChars="200"/>
        <w:rPr>
          <w:rFonts w:hint="eastAsia" w:ascii="Times New Roman" w:hAnsi="Times New Roman"/>
          <w:color w:val="0D0D0D"/>
          <w:sz w:val="24"/>
        </w:rPr>
      </w:pPr>
      <w:r>
        <w:rPr>
          <w:rFonts w:hint="eastAsia" w:ascii="Times New Roman" w:hAnsi="Times New Roman"/>
          <w:color w:val="0D0D0D"/>
          <w:sz w:val="24"/>
        </w:rPr>
        <w:t>理论优化： 首次探讨了半骨骺阻滞术后内固定取出的最佳时机，提出胫骨近端内侧角（aMPTA）矫正至82°-87°为合适范围，为临床决策提供了量化依据。</w:t>
      </w:r>
    </w:p>
    <w:p w14:paraId="375FACB6">
      <w:pPr>
        <w:ind w:firstLine="480" w:firstLineChars="200"/>
        <w:rPr>
          <w:rFonts w:hint="eastAsia" w:ascii="Times New Roman" w:hAnsi="Times New Roman"/>
          <w:color w:val="0D0D0D"/>
          <w:sz w:val="24"/>
        </w:rPr>
      </w:pPr>
      <w:r>
        <w:rPr>
          <w:rFonts w:hint="eastAsia" w:ascii="Times New Roman" w:hAnsi="Times New Roman"/>
          <w:color w:val="0D0D0D"/>
          <w:sz w:val="24"/>
        </w:rPr>
        <w:t>结果： 本项目共纳入超过150例患儿，最长随访达73个月。</w:t>
      </w:r>
    </w:p>
    <w:p w14:paraId="05647DD7">
      <w:pPr>
        <w:ind w:firstLine="480" w:firstLineChars="200"/>
        <w:rPr>
          <w:rFonts w:ascii="Times New Roman" w:hAnsi="Times New Roman"/>
          <w:color w:val="0D0D0D"/>
          <w:sz w:val="24"/>
        </w:rPr>
      </w:pPr>
      <w:r>
        <w:rPr>
          <w:rFonts w:hint="eastAsia" w:ascii="Times New Roman" w:hAnsi="Times New Roman"/>
          <w:color w:val="0D0D0D"/>
          <w:sz w:val="24"/>
        </w:rPr>
        <w:t>新型“U”形钉治疗踝外翻：平均手术时间24min，出血量7.5ml，矫形率达0.69°/月，无螺钉脱出等严重并发症，AOFAS评分由术前46.2分显著提升至末次随访74.6分。“8”字钢板治疗膝外翻：平均矫正速率达1.26°/月，矫形效果满意。</w:t>
      </w:r>
    </w:p>
    <w:p w14:paraId="50260CE2">
      <w:pPr>
        <w:ind w:firstLine="480" w:firstLineChars="200"/>
        <w:rPr>
          <w:rFonts w:hint="eastAsia" w:ascii="Times New Roman" w:hAnsi="Times New Roman"/>
          <w:color w:val="0D0D0D"/>
          <w:sz w:val="24"/>
        </w:rPr>
      </w:pPr>
      <w:r>
        <w:rPr>
          <w:rFonts w:hint="eastAsia" w:ascii="Times New Roman" w:hAnsi="Times New Roman"/>
          <w:color w:val="0D0D0D"/>
          <w:sz w:val="24"/>
        </w:rPr>
        <w:t>胫骨远端前侧阻滞治马蹄足：患儿均获得跖行足，踝关节背伸角度由术前-15.0°显著改善至14.3°。“U”形钉治疗NF1胫骨成角：正位成角由29.7°矫正至10.6°，矫正速率0.77°/月，有效预防了胫骨骨折。</w:t>
      </w:r>
    </w:p>
    <w:p w14:paraId="654ADC7C">
      <w:pPr>
        <w:ind w:firstLine="480" w:firstLineChars="200"/>
        <w:rPr>
          <w:rFonts w:hint="eastAsia" w:ascii="Times New Roman" w:hAnsi="Times New Roman"/>
          <w:color w:val="0D0D0D"/>
          <w:sz w:val="24"/>
        </w:rPr>
      </w:pPr>
      <w:r>
        <w:rPr>
          <w:rFonts w:hint="eastAsia" w:ascii="Times New Roman" w:hAnsi="Times New Roman"/>
          <w:color w:val="0D0D0D"/>
          <w:sz w:val="24"/>
        </w:rPr>
        <w:t>取出时机研究：明确了aMPTA矫正至82°-87°时取出内固定，既能获得满意矫形，又能显著降低反弹风险（C组反弹8.49° vs A/B组约2.7°）。</w:t>
      </w:r>
    </w:p>
    <w:p w14:paraId="03F97258">
      <w:pPr>
        <w:ind w:firstLine="480" w:firstLineChars="200"/>
        <w:rPr>
          <w:rFonts w:hint="eastAsia" w:ascii="Times New Roman" w:hAnsi="Times New Roman"/>
          <w:color w:val="0D0D0D"/>
          <w:sz w:val="24"/>
        </w:rPr>
      </w:pPr>
      <w:r>
        <w:rPr>
          <w:rFonts w:hint="eastAsia" w:ascii="Times New Roman" w:hAnsi="Times New Roman"/>
          <w:color w:val="0D0D0D"/>
          <w:sz w:val="24"/>
        </w:rPr>
        <w:t>科学创新点：</w:t>
      </w:r>
    </w:p>
    <w:p w14:paraId="13A43FA9">
      <w:pPr>
        <w:ind w:firstLine="480" w:firstLineChars="200"/>
        <w:rPr>
          <w:rFonts w:hint="eastAsia" w:ascii="Times New Roman" w:hAnsi="Times New Roman"/>
          <w:color w:val="0D0D0D"/>
          <w:sz w:val="24"/>
        </w:rPr>
      </w:pPr>
      <w:r>
        <w:rPr>
          <w:rFonts w:hint="eastAsia" w:ascii="Times New Roman" w:hAnsi="Times New Roman"/>
          <w:color w:val="0D0D0D"/>
          <w:sz w:val="24"/>
        </w:rPr>
        <w:t>技术创新：自主研发了符合中国儿童解剖特点的新型“U”形钉，解决了进口器材“水土不服”的难题。</w:t>
      </w:r>
    </w:p>
    <w:p w14:paraId="4E746980">
      <w:pPr>
        <w:ind w:firstLine="480" w:firstLineChars="200"/>
        <w:rPr>
          <w:rFonts w:hint="eastAsia" w:ascii="Times New Roman" w:hAnsi="Times New Roman"/>
          <w:color w:val="0D0D0D"/>
          <w:sz w:val="24"/>
        </w:rPr>
      </w:pPr>
      <w:r>
        <w:rPr>
          <w:rFonts w:hint="eastAsia" w:ascii="Times New Roman" w:hAnsi="Times New Roman"/>
          <w:color w:val="0D0D0D"/>
          <w:sz w:val="24"/>
        </w:rPr>
        <w:t>理论创新：首次系统比较了三种不同内固定（U形钉、空心钉、皮质骨钉）在踝外翻治疗中的优劣，并首次提出胫骨近端外翻半骨骺阻滞术后内固定取出的最佳角度范围。</w:t>
      </w:r>
    </w:p>
    <w:p w14:paraId="18459AE0">
      <w:pPr>
        <w:ind w:firstLine="480" w:firstLineChars="200"/>
        <w:rPr>
          <w:rFonts w:hint="eastAsia" w:ascii="Times New Roman" w:hAnsi="Times New Roman"/>
          <w:color w:val="0D0D0D"/>
          <w:sz w:val="24"/>
        </w:rPr>
      </w:pPr>
      <w:r>
        <w:rPr>
          <w:rFonts w:hint="eastAsia" w:ascii="Times New Roman" w:hAnsi="Times New Roman"/>
          <w:color w:val="0D0D0D"/>
          <w:sz w:val="24"/>
        </w:rPr>
        <w:t>术式创新：拓展了生长引导技术的应用范围，从冠状面畸形延伸至矢状面畸形（马蹄足跖屈）及特殊疾病（NF1相关畸形），形成了完整的治疗体系。</w:t>
      </w:r>
    </w:p>
    <w:p w14:paraId="415348C2">
      <w:pPr>
        <w:ind w:firstLine="480" w:firstLineChars="200"/>
        <w:rPr>
          <w:rFonts w:hint="eastAsia" w:ascii="Times New Roman" w:hAnsi="Times New Roman"/>
          <w:color w:val="0D0D0D"/>
          <w:sz w:val="24"/>
        </w:rPr>
      </w:pPr>
      <w:r>
        <w:rPr>
          <w:rFonts w:hint="eastAsia" w:ascii="Times New Roman" w:hAnsi="Times New Roman"/>
          <w:color w:val="0D0D0D"/>
          <w:sz w:val="24"/>
        </w:rPr>
        <w:t>科学价值：</w:t>
      </w:r>
    </w:p>
    <w:p w14:paraId="320C6BE8">
      <w:pPr>
        <w:ind w:firstLine="480" w:firstLineChars="200"/>
        <w:rPr>
          <w:rFonts w:hint="eastAsia" w:ascii="Times New Roman" w:hAnsi="Times New Roman"/>
          <w:color w:val="0D0D0D"/>
          <w:sz w:val="24"/>
        </w:rPr>
      </w:pPr>
      <w:r>
        <w:rPr>
          <w:rFonts w:hint="eastAsia" w:ascii="Times New Roman" w:hAnsi="Times New Roman"/>
          <w:color w:val="0D0D0D"/>
          <w:sz w:val="24"/>
        </w:rPr>
        <w:t>本项目为儿童下肢成角畸形提供了</w:t>
      </w:r>
      <w:r>
        <w:rPr>
          <w:rFonts w:hint="cs" w:ascii="Times New Roman" w:hAnsi="Times New Roman"/>
          <w:color w:val="0D0D0D"/>
          <w:sz w:val="24"/>
        </w:rPr>
        <w:t>“</w:t>
      </w:r>
      <w:r>
        <w:rPr>
          <w:rFonts w:hint="eastAsia" w:ascii="Times New Roman" w:hAnsi="Times New Roman"/>
          <w:color w:val="0D0D0D"/>
          <w:sz w:val="24"/>
        </w:rPr>
        <w:t>微创、动态、可逆</w:t>
      </w:r>
      <w:r>
        <w:rPr>
          <w:rFonts w:hint="cs" w:ascii="Times New Roman" w:hAnsi="Times New Roman"/>
          <w:color w:val="0D0D0D"/>
          <w:sz w:val="24"/>
        </w:rPr>
        <w:t>”</w:t>
      </w:r>
      <w:r>
        <w:rPr>
          <w:rFonts w:hint="eastAsia" w:ascii="Times New Roman" w:hAnsi="Times New Roman"/>
          <w:color w:val="0D0D0D"/>
          <w:sz w:val="24"/>
        </w:rPr>
        <w:t>的全新治疗理念，证实了生长引导技术较传统截骨术的巨大优势，丰富了小儿矫形外科学的理论基础。</w:t>
      </w:r>
    </w:p>
    <w:p w14:paraId="4925E873">
      <w:pPr>
        <w:ind w:firstLine="480" w:firstLineChars="200"/>
        <w:rPr>
          <w:rFonts w:hint="eastAsia" w:ascii="Times New Roman" w:hAnsi="Times New Roman"/>
          <w:color w:val="0D0D0D"/>
          <w:sz w:val="24"/>
        </w:rPr>
      </w:pPr>
      <w:r>
        <w:rPr>
          <w:rFonts w:hint="eastAsia" w:ascii="Times New Roman" w:hAnsi="Times New Roman"/>
          <w:color w:val="0D0D0D"/>
          <w:sz w:val="24"/>
        </w:rPr>
        <w:t>社会效益：成果已在多家医院推广应用，显著提高了患儿肢体功能、改善了外观、避免了严重残疾，减轻了家庭和社会负担。项目发表SCI及核心期刊论文10篇，美国专利一个，实用新型专利一个，研发的专利产品具有巨大的临床转化和市场推广价值。</w:t>
      </w:r>
    </w:p>
    <w:p w14:paraId="5A7DA4E8">
      <w:pPr>
        <w:ind w:firstLine="480" w:firstLineChars="200"/>
        <w:rPr>
          <w:rFonts w:hint="eastAsia" w:ascii="Times New Roman" w:hAnsi="Times New Roman"/>
          <w:color w:val="0D0D0D"/>
          <w:sz w:val="24"/>
        </w:rPr>
      </w:pPr>
      <w:r>
        <w:rPr>
          <w:rFonts w:hint="eastAsia" w:ascii="Times New Roman" w:hAnsi="Times New Roman"/>
          <w:color w:val="0D0D0D"/>
          <w:sz w:val="24"/>
        </w:rPr>
        <w:t>经济效益：基于微创理念，最大化减少创伤，减少大创伤手术，如外架固定时间，减少社会、家庭医疗成本。</w:t>
      </w:r>
    </w:p>
    <w:p w14:paraId="0421DFE8">
      <w:pPr>
        <w:ind w:firstLine="482" w:firstLineChars="200"/>
        <w:rPr>
          <w:rFonts w:ascii="Times New Roman" w:hAnsi="Times New Roman"/>
          <w:b/>
          <w:bCs/>
          <w:color w:val="0D0D0D"/>
          <w:sz w:val="24"/>
        </w:rPr>
      </w:pPr>
      <w:r>
        <w:rPr>
          <w:rFonts w:ascii="Times New Roman" w:hAnsi="Times New Roman"/>
          <w:b/>
          <w:bCs/>
          <w:color w:val="0D0D0D"/>
          <w:sz w:val="24"/>
        </w:rPr>
        <w:t>5.代表性论文目录</w:t>
      </w:r>
    </w:p>
    <w:p w14:paraId="5C9428E2">
      <w:pPr>
        <w:rPr>
          <w:rFonts w:hint="eastAsia"/>
        </w:rPr>
      </w:pPr>
      <w:r>
        <w:rPr>
          <w:rFonts w:hint="eastAsia"/>
        </w:rPr>
        <w:t>1.梅海波, 8字钢板半骺板阻滞术治疗儿童下肢成角畸形. 临床小儿外科杂志, 2010, 9(4):314-415.</w:t>
      </w:r>
    </w:p>
    <w:p w14:paraId="3AF14CE7">
      <w:pPr>
        <w:rPr>
          <w:rFonts w:hint="eastAsia"/>
        </w:rPr>
      </w:pPr>
      <w:r>
        <w:rPr>
          <w:rFonts w:hint="eastAsia"/>
        </w:rPr>
        <w:t>2. Hu X, Li A, Liu K, Wu J, Mei H. Design of a New "U"-shaped Staple and Its Clinical Application in Postoperative Ankle Valgus of Congenital Pseudarthrosis of the Tibia in Children. Orthop Surg. 2022 Sep;14(9):1981-1988.</w:t>
      </w:r>
    </w:p>
    <w:p w14:paraId="56201BD9">
      <w:pPr>
        <w:rPr>
          <w:rFonts w:hint="eastAsia"/>
        </w:rPr>
      </w:pPr>
      <w:r>
        <w:rPr>
          <w:rFonts w:hint="eastAsia"/>
        </w:rPr>
        <w:t xml:space="preserve">3. Hu X, Li A, Liu K, Mei H. Efficacy Comparison of 3 Kinds of Distal Tibial Hemiepiphyseal Implants in the Treatment of Postoperative Ankle Valgus of Congenital Pseudarthrosis of the Tibia. J Pediatr Orthop. 2022 May-Jun;42(5):e441-e447. </w:t>
      </w:r>
    </w:p>
    <w:p w14:paraId="28D93D2F">
      <w:pPr>
        <w:rPr>
          <w:rFonts w:hint="eastAsia"/>
        </w:rPr>
      </w:pPr>
      <w:r>
        <w:rPr>
          <w:rFonts w:hint="eastAsia"/>
        </w:rPr>
        <w:t xml:space="preserve">4. XiaoYu Zhou, YaoXi Liu, Hao Chen, Xiongke Hu, </w:t>
      </w:r>
      <w:r>
        <w:rPr>
          <w:rFonts w:hint="eastAsia"/>
          <w:b/>
          <w:bCs/>
        </w:rPr>
        <w:t>GuangHui Zhu</w:t>
      </w:r>
      <w:r>
        <w:rPr>
          <w:rFonts w:hint="eastAsia"/>
        </w:rPr>
        <w:t>, Kun Liu, ZeXi Jiang, Han Xiao, HaiBo Mei. Clinical study of the 'U'-shaped staple-guided growth technique in the treatment of congenital anterolateral bowing of the tibia in children. J Pediatr Orthop B. 2025 Nov 1;34(6):608-615.</w:t>
      </w:r>
    </w:p>
    <w:p w14:paraId="59550449">
      <w:pPr>
        <w:rPr>
          <w:rFonts w:hint="eastAsia"/>
        </w:rPr>
      </w:pPr>
      <w:r>
        <w:rPr>
          <w:rFonts w:hint="eastAsia"/>
        </w:rPr>
        <w:t>5. 胡雄科, 谭谦, 伍江雁, 刘昆, 朱光辉, 梅海波, 新型“U”形钉半骺板阻滞治疗先天性胫骨假关节术后踝外翻畸形的临床研究, 中华小儿外科杂志</w:t>
      </w:r>
      <w:r>
        <w:rPr>
          <w:rFonts w:hint="eastAsia"/>
        </w:rPr>
        <w:tab/>
      </w:r>
      <w:r>
        <w:rPr>
          <w:rFonts w:hint="eastAsia"/>
        </w:rPr>
        <w:t>2024; 44(6).</w:t>
      </w:r>
    </w:p>
    <w:p w14:paraId="2D9259EF">
      <w:pPr>
        <w:rPr>
          <w:rFonts w:hint="eastAsia"/>
        </w:rPr>
      </w:pPr>
      <w:r>
        <w:rPr>
          <w:rFonts w:hint="eastAsia"/>
        </w:rPr>
        <w:t>6. 肖汉, 朱光辉#, 梅海波, 刘昆, 唐进, 谭谦, 伍江雁, 刘尧喜, 雷霆, 张妮, 莫莎莎, 赵卫华#，半骨骺阻滞术治疗儿童先天性胫骨假关节愈合后胫骨近端外翻的疗效评价. 临床小儿外科杂志，2022,21(12):1141-1146.</w:t>
      </w:r>
    </w:p>
    <w:p w14:paraId="6290F180">
      <w:pPr>
        <w:rPr>
          <w:rFonts w:hint="eastAsia"/>
        </w:rPr>
      </w:pPr>
      <w:r>
        <w:rPr>
          <w:rFonts w:hint="eastAsia"/>
        </w:rPr>
        <w:t>7．肖保辉, 雷霆, 曾岚, 李宇, 康列和, 蔡豪杰, 简书浪, 刘昆, 叶卫华, 唐进, 梅海波, 赵卫华, 朱光辉. 新型U型钉半骨骺阻滞术治疗Ⅰ型神经纤维瘤病儿童胫骨前外侧成角畸形的短期临床疗效评价. 临床小儿外科杂志，2024,(03):258-261.</w:t>
      </w:r>
    </w:p>
    <w:p w14:paraId="6D8DA6DF">
      <w:pPr>
        <w:rPr>
          <w:rFonts w:hint="eastAsia"/>
        </w:rPr>
      </w:pPr>
      <w:r>
        <w:rPr>
          <w:rFonts w:hint="eastAsia"/>
        </w:rPr>
        <w:t>8．王军, 杨翔宇, 赵鼎, 蔡豪杰, 聂玉婷, 朱光辉, 杨戈, 刘昆, 严安, 谭谦, 叶卫华, 唐进, 梅海波, 莫莎莎，胫骨远端前侧半骨骺阻滞术治疗儿童僵硬性马蹄内翻足矢状面跖屈畸形的短期效果. 临床小儿外科杂志，2024,(11):1019-1022.</w:t>
      </w:r>
    </w:p>
    <w:p w14:paraId="6E479E03">
      <w:pPr>
        <w:rPr>
          <w:rFonts w:hint="eastAsia"/>
        </w:rPr>
      </w:pPr>
      <w:r>
        <w:rPr>
          <w:rFonts w:hint="eastAsia"/>
        </w:rPr>
        <w:t>9．蔡豪杰，朱光辉</w:t>
      </w:r>
      <w:r>
        <w:rPr>
          <w:rFonts w:hint="eastAsia"/>
          <w:vertAlign w:val="superscript"/>
        </w:rPr>
        <w:t>*</w:t>
      </w:r>
      <w:r>
        <w:rPr>
          <w:rFonts w:hint="eastAsia"/>
        </w:rPr>
        <w:t>，半骨骺阻滞术治疗CPT术后胫骨近端外翻的内固定取出时机初探，临床小儿外科杂志，2025:24(11),1032-1036.</w:t>
      </w:r>
    </w:p>
    <w:p w14:paraId="4C85D399">
      <w:pPr>
        <w:rPr>
          <w:rFonts w:hint="eastAsia"/>
        </w:rPr>
      </w:pPr>
      <w:r>
        <w:rPr>
          <w:rFonts w:hint="eastAsia"/>
        </w:rPr>
        <w:t>10. 李安平,胡雄科,赵卫华,朱光辉,刘昆,梅海波, 半骺板阻滞术治疗儿童先天性胫骨假关节手术后踝外翻的临床研究. 临床小儿外科杂志 . 2021 ,20 (12) : 1149-1153.</w:t>
      </w:r>
    </w:p>
    <w:p w14:paraId="45136DD2">
      <w:pPr>
        <w:rPr>
          <w:rFonts w:hint="eastAsia"/>
        </w:rPr>
      </w:pPr>
      <w:r>
        <w:rPr>
          <w:rFonts w:hint="eastAsia"/>
        </w:rPr>
        <w:t>11.梅海波, 8字钢板半骺板阻滞术治疗儿童下肢成角畸形. 临床小儿外科杂志, 2010, 9(4):314-415.</w:t>
      </w:r>
    </w:p>
    <w:p w14:paraId="2E2AA475">
      <w:pPr>
        <w:ind w:firstLine="482" w:firstLineChars="200"/>
        <w:rPr>
          <w:rFonts w:hint="eastAsia" w:ascii="Times New Roman" w:hAnsi="Times New Roman"/>
          <w:b/>
          <w:bCs/>
          <w:color w:val="0D0D0D"/>
          <w:sz w:val="24"/>
        </w:rPr>
      </w:pPr>
    </w:p>
    <w:p w14:paraId="22978ADE">
      <w:pPr>
        <w:ind w:firstLine="480" w:firstLineChars="200"/>
        <w:rPr>
          <w:rFonts w:ascii="Times New Roman" w:hAnsi="Times New Roman"/>
          <w:color w:val="0D0D0D"/>
          <w:sz w:val="24"/>
        </w:rPr>
      </w:pPr>
      <w:r>
        <w:rPr>
          <w:rFonts w:ascii="Times New Roman" w:hAnsi="Times New Roman"/>
          <w:color w:val="0D0D0D"/>
          <w:sz w:val="24"/>
        </w:rPr>
        <w:t>6.知识产权证明目录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893"/>
        <w:gridCol w:w="1416"/>
        <w:gridCol w:w="923"/>
        <w:gridCol w:w="2136"/>
        <w:gridCol w:w="953"/>
        <w:gridCol w:w="894"/>
        <w:gridCol w:w="954"/>
      </w:tblGrid>
      <w:tr w14:paraId="01EA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B830C1E">
            <w:pPr>
              <w:jc w:val="center"/>
              <w:rPr>
                <w:rFonts w:hint="eastAsia" w:ascii="宋体" w:hAnsi="宋体" w:eastAsia="宋体"/>
                <w:color w:val="0D0D0D"/>
                <w:sz w:val="24"/>
              </w:rPr>
            </w:pPr>
            <w:r>
              <w:rPr>
                <w:rFonts w:hint="eastAsia" w:ascii="宋体" w:hAnsi="宋体" w:eastAsia="宋体"/>
                <w:color w:val="0D0D0D"/>
                <w:sz w:val="24"/>
              </w:rPr>
              <w:t>序号</w:t>
            </w:r>
          </w:p>
        </w:tc>
        <w:tc>
          <w:tcPr>
            <w:tcW w:w="1036" w:type="dxa"/>
            <w:vAlign w:val="center"/>
          </w:tcPr>
          <w:p w14:paraId="0D74AA40">
            <w:pPr>
              <w:jc w:val="center"/>
              <w:rPr>
                <w:rFonts w:hint="eastAsia" w:ascii="宋体" w:hAnsi="宋体" w:eastAsia="宋体"/>
                <w:color w:val="0D0D0D"/>
                <w:sz w:val="24"/>
              </w:rPr>
            </w:pPr>
            <w:r>
              <w:rPr>
                <w:rFonts w:hint="eastAsia" w:ascii="宋体" w:hAnsi="宋体" w:eastAsia="宋体"/>
                <w:color w:val="0D0D0D"/>
                <w:sz w:val="24"/>
              </w:rPr>
              <w:t>知识产权类别</w:t>
            </w:r>
          </w:p>
        </w:tc>
        <w:tc>
          <w:tcPr>
            <w:tcW w:w="1037" w:type="dxa"/>
            <w:vAlign w:val="center"/>
          </w:tcPr>
          <w:p w14:paraId="4FB41A70">
            <w:pPr>
              <w:jc w:val="center"/>
              <w:rPr>
                <w:rFonts w:hint="eastAsia" w:ascii="宋体" w:hAnsi="宋体" w:eastAsia="宋体"/>
                <w:color w:val="0D0D0D"/>
                <w:sz w:val="24"/>
              </w:rPr>
            </w:pPr>
            <w:r>
              <w:rPr>
                <w:rFonts w:hint="eastAsia" w:ascii="宋体" w:hAnsi="宋体" w:eastAsia="宋体"/>
                <w:color w:val="0D0D0D"/>
                <w:sz w:val="24"/>
              </w:rPr>
              <w:t>知识产权具体明细</w:t>
            </w:r>
          </w:p>
        </w:tc>
        <w:tc>
          <w:tcPr>
            <w:tcW w:w="1037" w:type="dxa"/>
            <w:vAlign w:val="center"/>
          </w:tcPr>
          <w:p w14:paraId="4B671593">
            <w:pPr>
              <w:jc w:val="center"/>
              <w:rPr>
                <w:rFonts w:hint="eastAsia" w:ascii="宋体" w:hAnsi="宋体" w:eastAsia="宋体"/>
                <w:color w:val="0D0D0D"/>
                <w:sz w:val="24"/>
              </w:rPr>
            </w:pPr>
            <w:r>
              <w:rPr>
                <w:rFonts w:hint="eastAsia" w:ascii="宋体" w:hAnsi="宋体" w:eastAsia="宋体"/>
                <w:color w:val="0D0D0D"/>
                <w:sz w:val="24"/>
              </w:rPr>
              <w:t>国家(地区)</w:t>
            </w:r>
          </w:p>
        </w:tc>
        <w:tc>
          <w:tcPr>
            <w:tcW w:w="1037" w:type="dxa"/>
            <w:vAlign w:val="center"/>
          </w:tcPr>
          <w:p w14:paraId="4CB38EE7">
            <w:pPr>
              <w:jc w:val="center"/>
              <w:rPr>
                <w:rFonts w:hint="eastAsia" w:ascii="宋体" w:hAnsi="宋体" w:eastAsia="宋体"/>
                <w:color w:val="0D0D0D"/>
                <w:sz w:val="24"/>
              </w:rPr>
            </w:pPr>
            <w:r>
              <w:rPr>
                <w:rFonts w:hint="eastAsia" w:ascii="宋体" w:hAnsi="宋体" w:eastAsia="宋体"/>
                <w:color w:val="0D0D0D"/>
                <w:sz w:val="24"/>
              </w:rPr>
              <w:t>专利号</w:t>
            </w:r>
          </w:p>
        </w:tc>
        <w:tc>
          <w:tcPr>
            <w:tcW w:w="1037" w:type="dxa"/>
            <w:vAlign w:val="center"/>
          </w:tcPr>
          <w:p w14:paraId="1F7E2057">
            <w:pPr>
              <w:jc w:val="center"/>
              <w:rPr>
                <w:rFonts w:hint="eastAsia" w:ascii="宋体" w:hAnsi="宋体" w:eastAsia="宋体"/>
                <w:color w:val="0D0D0D"/>
                <w:sz w:val="24"/>
              </w:rPr>
            </w:pPr>
            <w:r>
              <w:rPr>
                <w:rFonts w:hint="eastAsia" w:ascii="宋体" w:hAnsi="宋体" w:eastAsia="宋体"/>
                <w:color w:val="0D0D0D"/>
                <w:sz w:val="24"/>
              </w:rPr>
              <w:t>授权公告日</w:t>
            </w:r>
          </w:p>
        </w:tc>
        <w:tc>
          <w:tcPr>
            <w:tcW w:w="1038" w:type="dxa"/>
            <w:vAlign w:val="center"/>
          </w:tcPr>
          <w:p w14:paraId="44AB7D13">
            <w:pPr>
              <w:jc w:val="center"/>
              <w:rPr>
                <w:rFonts w:hint="eastAsia" w:ascii="宋体" w:hAnsi="宋体" w:eastAsia="宋体"/>
                <w:color w:val="0D0D0D"/>
                <w:sz w:val="24"/>
              </w:rPr>
            </w:pPr>
            <w:r>
              <w:rPr>
                <w:rFonts w:hint="eastAsia" w:ascii="宋体" w:hAnsi="宋体" w:eastAsia="宋体"/>
                <w:color w:val="0D0D0D"/>
                <w:sz w:val="24"/>
              </w:rPr>
              <w:t>专利权人</w:t>
            </w:r>
          </w:p>
        </w:tc>
        <w:tc>
          <w:tcPr>
            <w:tcW w:w="1038" w:type="dxa"/>
            <w:vAlign w:val="center"/>
          </w:tcPr>
          <w:p w14:paraId="661BAC14">
            <w:pPr>
              <w:jc w:val="center"/>
              <w:rPr>
                <w:rFonts w:hint="eastAsia" w:ascii="宋体" w:hAnsi="宋体" w:eastAsia="宋体"/>
                <w:color w:val="0D0D0D"/>
                <w:sz w:val="24"/>
              </w:rPr>
            </w:pPr>
            <w:r>
              <w:rPr>
                <w:rFonts w:hint="eastAsia" w:ascii="宋体" w:hAnsi="宋体" w:eastAsia="宋体"/>
                <w:color w:val="0D0D0D"/>
                <w:sz w:val="24"/>
              </w:rPr>
              <w:t>全部发明人</w:t>
            </w:r>
          </w:p>
        </w:tc>
      </w:tr>
      <w:tr w14:paraId="13F6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36C2AE">
            <w:pPr>
              <w:jc w:val="center"/>
              <w:rPr>
                <w:rFonts w:hint="eastAsia" w:ascii="宋体" w:hAnsi="宋体" w:eastAsia="宋体"/>
                <w:color w:val="0D0D0D"/>
                <w:sz w:val="24"/>
              </w:rPr>
            </w:pPr>
          </w:p>
        </w:tc>
        <w:tc>
          <w:tcPr>
            <w:tcW w:w="1036" w:type="dxa"/>
            <w:vAlign w:val="center"/>
          </w:tcPr>
          <w:p w14:paraId="42D73B98">
            <w:pPr>
              <w:jc w:val="center"/>
              <w:rPr>
                <w:rFonts w:hint="eastAsia" w:ascii="宋体" w:hAnsi="宋体" w:eastAsia="宋体"/>
                <w:color w:val="0D0D0D"/>
                <w:sz w:val="24"/>
              </w:rPr>
            </w:pPr>
          </w:p>
        </w:tc>
        <w:tc>
          <w:tcPr>
            <w:tcW w:w="1037" w:type="dxa"/>
            <w:vAlign w:val="center"/>
          </w:tcPr>
          <w:p w14:paraId="03348F2F">
            <w:pPr>
              <w:jc w:val="center"/>
              <w:rPr>
                <w:rFonts w:hint="eastAsia" w:ascii="宋体" w:hAnsi="宋体" w:eastAsia="宋体"/>
                <w:color w:val="0D0D0D"/>
                <w:sz w:val="24"/>
              </w:rPr>
            </w:pPr>
            <w:r>
              <w:rPr>
                <w:rFonts w:hint="eastAsia" w:ascii="宋体" w:hAnsi="宋体" w:eastAsia="宋体"/>
                <w:color w:val="0D0D0D"/>
                <w:sz w:val="24"/>
              </w:rPr>
              <w:t>Memory Alloy Periosteal</w:t>
            </w:r>
          </w:p>
          <w:p w14:paraId="56161168">
            <w:pPr>
              <w:jc w:val="center"/>
              <w:rPr>
                <w:rFonts w:hint="eastAsia" w:ascii="宋体" w:hAnsi="宋体" w:eastAsia="宋体"/>
                <w:color w:val="0D0D0D"/>
                <w:sz w:val="24"/>
              </w:rPr>
            </w:pPr>
            <w:r>
              <w:rPr>
                <w:rFonts w:hint="eastAsia" w:ascii="宋体" w:hAnsi="宋体" w:eastAsia="宋体"/>
                <w:color w:val="0D0D0D"/>
                <w:sz w:val="24"/>
              </w:rPr>
              <w:t>Traction Plate</w:t>
            </w:r>
          </w:p>
        </w:tc>
        <w:tc>
          <w:tcPr>
            <w:tcW w:w="1037" w:type="dxa"/>
            <w:vAlign w:val="center"/>
          </w:tcPr>
          <w:p w14:paraId="27A69ECC">
            <w:pPr>
              <w:jc w:val="center"/>
              <w:rPr>
                <w:rFonts w:hint="eastAsia" w:ascii="宋体" w:hAnsi="宋体" w:eastAsia="宋体"/>
                <w:color w:val="0D0D0D"/>
                <w:sz w:val="24"/>
              </w:rPr>
            </w:pPr>
            <w:r>
              <w:rPr>
                <w:rFonts w:hint="eastAsia" w:ascii="宋体" w:hAnsi="宋体" w:eastAsia="宋体"/>
                <w:color w:val="0D0D0D"/>
                <w:sz w:val="24"/>
              </w:rPr>
              <w:t>美国</w:t>
            </w:r>
          </w:p>
        </w:tc>
        <w:tc>
          <w:tcPr>
            <w:tcW w:w="1037" w:type="dxa"/>
            <w:vAlign w:val="center"/>
          </w:tcPr>
          <w:p w14:paraId="3E26ADAF">
            <w:pPr>
              <w:jc w:val="center"/>
              <w:rPr>
                <w:rFonts w:hint="eastAsia" w:ascii="宋体" w:hAnsi="宋体" w:eastAsia="宋体"/>
                <w:color w:val="0D0D0D"/>
                <w:sz w:val="24"/>
              </w:rPr>
            </w:pPr>
            <w:r>
              <w:rPr>
                <w:rFonts w:hint="eastAsia" w:ascii="宋体" w:hAnsi="宋体" w:eastAsia="宋体"/>
                <w:color w:val="0D0D0D"/>
                <w:sz w:val="24"/>
              </w:rPr>
              <w:t>US12471968B2</w:t>
            </w:r>
          </w:p>
        </w:tc>
        <w:tc>
          <w:tcPr>
            <w:tcW w:w="1037" w:type="dxa"/>
            <w:vAlign w:val="center"/>
          </w:tcPr>
          <w:p w14:paraId="7DC2ED90">
            <w:pPr>
              <w:jc w:val="center"/>
              <w:rPr>
                <w:rFonts w:hint="eastAsia" w:ascii="宋体" w:hAnsi="宋体" w:eastAsia="宋体"/>
                <w:color w:val="0D0D0D"/>
                <w:sz w:val="24"/>
              </w:rPr>
            </w:pPr>
            <w:r>
              <w:rPr>
                <w:rFonts w:hint="eastAsia" w:ascii="宋体" w:hAnsi="宋体" w:eastAsia="宋体"/>
                <w:color w:val="0D0D0D"/>
                <w:sz w:val="24"/>
              </w:rPr>
              <w:t>2025年12月</w:t>
            </w:r>
          </w:p>
          <w:p w14:paraId="6CE1E78A">
            <w:pPr>
              <w:jc w:val="center"/>
              <w:rPr>
                <w:rFonts w:hint="eastAsia" w:ascii="宋体" w:hAnsi="宋体" w:eastAsia="宋体"/>
                <w:color w:val="0D0D0D"/>
                <w:sz w:val="24"/>
              </w:rPr>
            </w:pPr>
            <w:r>
              <w:rPr>
                <w:rFonts w:hint="eastAsia" w:ascii="宋体" w:hAnsi="宋体" w:eastAsia="宋体"/>
                <w:color w:val="0D0D0D"/>
                <w:sz w:val="24"/>
              </w:rPr>
              <w:t>18日</w:t>
            </w:r>
          </w:p>
        </w:tc>
        <w:tc>
          <w:tcPr>
            <w:tcW w:w="1038" w:type="dxa"/>
            <w:vAlign w:val="center"/>
          </w:tcPr>
          <w:p w14:paraId="317C9896">
            <w:pPr>
              <w:jc w:val="center"/>
              <w:rPr>
                <w:rFonts w:hint="eastAsia" w:ascii="宋体" w:hAnsi="宋体" w:eastAsia="宋体"/>
                <w:color w:val="0D0D0D"/>
                <w:sz w:val="24"/>
              </w:rPr>
            </w:pPr>
            <w:r>
              <w:rPr>
                <w:rFonts w:hint="eastAsia" w:ascii="宋体" w:hAnsi="宋体" w:eastAsia="宋体"/>
                <w:color w:val="0D0D0D"/>
                <w:sz w:val="24"/>
              </w:rPr>
              <w:t>梅海波</w:t>
            </w:r>
          </w:p>
        </w:tc>
        <w:tc>
          <w:tcPr>
            <w:tcW w:w="1038" w:type="dxa"/>
            <w:vAlign w:val="center"/>
          </w:tcPr>
          <w:p w14:paraId="38F250A5">
            <w:pPr>
              <w:jc w:val="center"/>
              <w:rPr>
                <w:rFonts w:hint="eastAsia" w:ascii="宋体" w:hAnsi="宋体" w:eastAsia="宋体"/>
                <w:color w:val="0D0D0D"/>
                <w:sz w:val="24"/>
              </w:rPr>
            </w:pPr>
            <w:r>
              <w:rPr>
                <w:rFonts w:hint="eastAsia" w:ascii="宋体" w:hAnsi="宋体" w:eastAsia="宋体"/>
                <w:color w:val="0D0D0D"/>
                <w:sz w:val="24"/>
              </w:rPr>
              <w:t>梅海波、李仁飞</w:t>
            </w:r>
          </w:p>
        </w:tc>
      </w:tr>
      <w:tr w14:paraId="78A5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4A2C5C">
            <w:pPr>
              <w:jc w:val="center"/>
              <w:rPr>
                <w:rFonts w:hint="eastAsia" w:ascii="宋体" w:hAnsi="宋体" w:eastAsia="宋体"/>
                <w:color w:val="0D0D0D"/>
                <w:sz w:val="24"/>
              </w:rPr>
            </w:pPr>
          </w:p>
        </w:tc>
        <w:tc>
          <w:tcPr>
            <w:tcW w:w="1036" w:type="dxa"/>
            <w:vAlign w:val="center"/>
          </w:tcPr>
          <w:p w14:paraId="5C94B224">
            <w:pPr>
              <w:jc w:val="center"/>
              <w:rPr>
                <w:rFonts w:hint="eastAsia" w:ascii="宋体" w:hAnsi="宋体" w:eastAsia="宋体"/>
                <w:color w:val="0D0D0D"/>
                <w:sz w:val="24"/>
              </w:rPr>
            </w:pPr>
          </w:p>
        </w:tc>
        <w:tc>
          <w:tcPr>
            <w:tcW w:w="1037" w:type="dxa"/>
            <w:vAlign w:val="center"/>
          </w:tcPr>
          <w:p w14:paraId="0AEEAAFF">
            <w:pPr>
              <w:jc w:val="center"/>
              <w:rPr>
                <w:rFonts w:hint="eastAsia" w:ascii="宋体" w:hAnsi="宋体" w:eastAsia="宋体"/>
                <w:color w:val="0D0D0D"/>
                <w:sz w:val="24"/>
              </w:rPr>
            </w:pPr>
            <w:r>
              <w:rPr>
                <w:rFonts w:hint="eastAsia" w:ascii="宋体" w:hAnsi="宋体" w:eastAsia="宋体"/>
                <w:color w:val="0D0D0D"/>
                <w:sz w:val="24"/>
              </w:rPr>
              <w:t>一种胫骨远端骺骨阻滞U型钉及配</w:t>
            </w:r>
          </w:p>
          <w:p w14:paraId="4F82FE7F">
            <w:pPr>
              <w:jc w:val="center"/>
              <w:rPr>
                <w:rFonts w:hint="eastAsia" w:ascii="宋体" w:hAnsi="宋体" w:eastAsia="宋体"/>
                <w:color w:val="0D0D0D"/>
                <w:sz w:val="24"/>
              </w:rPr>
            </w:pPr>
            <w:r>
              <w:rPr>
                <w:rFonts w:hint="eastAsia" w:ascii="宋体" w:hAnsi="宋体" w:eastAsia="宋体"/>
                <w:color w:val="0D0D0D"/>
                <w:sz w:val="24"/>
              </w:rPr>
              <w:t>套工具</w:t>
            </w:r>
          </w:p>
        </w:tc>
        <w:tc>
          <w:tcPr>
            <w:tcW w:w="1037" w:type="dxa"/>
            <w:vAlign w:val="center"/>
          </w:tcPr>
          <w:p w14:paraId="6F6A2BCB">
            <w:pPr>
              <w:jc w:val="center"/>
              <w:rPr>
                <w:rFonts w:hint="eastAsia" w:ascii="宋体" w:hAnsi="宋体" w:eastAsia="宋体"/>
                <w:color w:val="0D0D0D"/>
                <w:sz w:val="24"/>
              </w:rPr>
            </w:pPr>
            <w:r>
              <w:rPr>
                <w:rFonts w:hint="eastAsia" w:ascii="宋体" w:hAnsi="宋体" w:eastAsia="宋体"/>
                <w:color w:val="0D0D0D"/>
                <w:sz w:val="24"/>
              </w:rPr>
              <w:t>中国</w:t>
            </w:r>
          </w:p>
        </w:tc>
        <w:tc>
          <w:tcPr>
            <w:tcW w:w="1037" w:type="dxa"/>
            <w:vAlign w:val="center"/>
          </w:tcPr>
          <w:p w14:paraId="571F0CE5">
            <w:pPr>
              <w:jc w:val="center"/>
              <w:rPr>
                <w:rFonts w:hint="eastAsia" w:ascii="宋体" w:hAnsi="宋体" w:eastAsia="宋体"/>
                <w:color w:val="0D0D0D"/>
                <w:sz w:val="24"/>
              </w:rPr>
            </w:pPr>
            <w:r>
              <w:rPr>
                <w:rFonts w:hint="eastAsia" w:ascii="宋体" w:hAnsi="宋体" w:eastAsia="宋体"/>
                <w:color w:val="0D0D0D"/>
                <w:sz w:val="24"/>
              </w:rPr>
              <w:t>ZL201921290967.2</w:t>
            </w:r>
          </w:p>
        </w:tc>
        <w:tc>
          <w:tcPr>
            <w:tcW w:w="1037" w:type="dxa"/>
            <w:vAlign w:val="center"/>
          </w:tcPr>
          <w:p w14:paraId="3798E887">
            <w:pPr>
              <w:jc w:val="center"/>
              <w:rPr>
                <w:rFonts w:hint="eastAsia" w:ascii="宋体" w:hAnsi="宋体" w:eastAsia="宋体"/>
                <w:color w:val="0D0D0D"/>
                <w:sz w:val="24"/>
              </w:rPr>
            </w:pPr>
            <w:r>
              <w:rPr>
                <w:rFonts w:hint="eastAsia" w:ascii="宋体" w:hAnsi="宋体" w:eastAsia="宋体"/>
                <w:color w:val="0D0D0D"/>
                <w:sz w:val="24"/>
              </w:rPr>
              <w:t>2020年7月3</w:t>
            </w:r>
          </w:p>
          <w:p w14:paraId="5D3E9AA9">
            <w:pPr>
              <w:jc w:val="center"/>
              <w:rPr>
                <w:rFonts w:hint="eastAsia" w:ascii="宋体" w:hAnsi="宋体" w:eastAsia="宋体"/>
                <w:color w:val="0D0D0D"/>
                <w:sz w:val="24"/>
              </w:rPr>
            </w:pPr>
            <w:r>
              <w:rPr>
                <w:rFonts w:hint="eastAsia" w:ascii="宋体" w:hAnsi="宋体" w:eastAsia="宋体"/>
                <w:color w:val="0D0D0D"/>
                <w:sz w:val="24"/>
              </w:rPr>
              <w:t>日</w:t>
            </w:r>
          </w:p>
        </w:tc>
        <w:tc>
          <w:tcPr>
            <w:tcW w:w="1038" w:type="dxa"/>
            <w:vAlign w:val="center"/>
          </w:tcPr>
          <w:p w14:paraId="45C02DB2">
            <w:pPr>
              <w:jc w:val="center"/>
              <w:rPr>
                <w:rFonts w:hint="eastAsia" w:ascii="宋体" w:hAnsi="宋体" w:eastAsia="宋体"/>
                <w:color w:val="0D0D0D"/>
                <w:sz w:val="24"/>
              </w:rPr>
            </w:pPr>
            <w:r>
              <w:rPr>
                <w:rFonts w:hint="eastAsia" w:ascii="宋体" w:hAnsi="宋体" w:eastAsia="宋体"/>
                <w:color w:val="0D0D0D"/>
                <w:sz w:val="24"/>
              </w:rPr>
              <w:t>梅海波</w:t>
            </w:r>
          </w:p>
        </w:tc>
        <w:tc>
          <w:tcPr>
            <w:tcW w:w="1038" w:type="dxa"/>
            <w:vAlign w:val="center"/>
          </w:tcPr>
          <w:p w14:paraId="540B82D3">
            <w:pPr>
              <w:jc w:val="center"/>
              <w:rPr>
                <w:rFonts w:hint="eastAsia" w:ascii="宋体" w:hAnsi="宋体" w:eastAsia="宋体"/>
                <w:color w:val="0D0D0D"/>
                <w:sz w:val="24"/>
              </w:rPr>
            </w:pPr>
            <w:r>
              <w:rPr>
                <w:rFonts w:hint="eastAsia" w:ascii="宋体" w:hAnsi="宋体" w:eastAsia="宋体"/>
                <w:color w:val="0D0D0D"/>
                <w:sz w:val="24"/>
              </w:rPr>
              <w:t>梅海波</w:t>
            </w:r>
          </w:p>
        </w:tc>
      </w:tr>
    </w:tbl>
    <w:p w14:paraId="0C4FF5E3">
      <w:pPr>
        <w:ind w:firstLine="480" w:firstLineChars="200"/>
        <w:rPr>
          <w:rFonts w:hint="eastAsia" w:ascii="Times New Roman" w:hAnsi="Times New Roman"/>
          <w:color w:val="0D0D0D"/>
          <w:sz w:val="24"/>
        </w:rPr>
      </w:pPr>
    </w:p>
    <w:p w14:paraId="2AB73A58">
      <w:pPr>
        <w:ind w:firstLine="480" w:firstLineChars="200"/>
        <w:rPr>
          <w:rFonts w:ascii="Times New Roman" w:hAnsi="Times New Roman"/>
          <w:color w:val="0D0D0D"/>
          <w:sz w:val="24"/>
        </w:rPr>
      </w:pPr>
      <w:r>
        <w:rPr>
          <w:rFonts w:ascii="Times New Roman" w:hAnsi="Times New Roman"/>
          <w:color w:val="0D0D0D"/>
          <w:sz w:val="24"/>
        </w:rPr>
        <w:t>7.科研基金计划、基金目录</w:t>
      </w:r>
    </w:p>
    <w:tbl>
      <w:tblPr>
        <w:tblStyle w:val="6"/>
        <w:tblW w:w="5000" w:type="pct"/>
        <w:jc w:val="center"/>
        <w:tblLayout w:type="autofit"/>
        <w:tblCellMar>
          <w:top w:w="0" w:type="dxa"/>
          <w:left w:w="0" w:type="dxa"/>
          <w:bottom w:w="0" w:type="dxa"/>
          <w:right w:w="0" w:type="dxa"/>
        </w:tblCellMar>
      </w:tblPr>
      <w:tblGrid>
        <w:gridCol w:w="655"/>
        <w:gridCol w:w="1835"/>
        <w:gridCol w:w="1369"/>
        <w:gridCol w:w="1767"/>
        <w:gridCol w:w="1289"/>
        <w:gridCol w:w="924"/>
        <w:gridCol w:w="1016"/>
      </w:tblGrid>
      <w:tr w14:paraId="50937E70">
        <w:tblPrEx>
          <w:tblCellMar>
            <w:top w:w="0" w:type="dxa"/>
            <w:left w:w="0" w:type="dxa"/>
            <w:bottom w:w="0" w:type="dxa"/>
            <w:right w:w="0" w:type="dxa"/>
          </w:tblCellMar>
        </w:tblPrEx>
        <w:trPr>
          <w:trHeight w:val="544" w:hRule="atLeast"/>
          <w:jc w:val="center"/>
        </w:trPr>
        <w:tc>
          <w:tcPr>
            <w:tcW w:w="370" w:type="pct"/>
            <w:tcBorders>
              <w:top w:val="single" w:color="000000" w:sz="4" w:space="0"/>
              <w:left w:val="single" w:color="000000" w:sz="4" w:space="0"/>
              <w:bottom w:val="single" w:color="000000" w:sz="4" w:space="0"/>
              <w:right w:val="single" w:color="000000" w:sz="4" w:space="0"/>
            </w:tcBorders>
            <w:vAlign w:val="center"/>
          </w:tcPr>
          <w:p w14:paraId="6C942C57">
            <w:pPr>
              <w:jc w:val="center"/>
              <w:rPr>
                <w:rFonts w:ascii="Times New Roman" w:hAnsi="Times New Roman"/>
                <w:sz w:val="22"/>
                <w:szCs w:val="22"/>
              </w:rPr>
            </w:pPr>
            <w:r>
              <w:rPr>
                <w:rFonts w:ascii="Times New Roman" w:hAnsi="Times New Roman"/>
                <w:sz w:val="22"/>
                <w:szCs w:val="22"/>
              </w:rPr>
              <w:t>序号</w:t>
            </w:r>
          </w:p>
        </w:tc>
        <w:tc>
          <w:tcPr>
            <w:tcW w:w="1036" w:type="pct"/>
            <w:tcBorders>
              <w:top w:val="single" w:color="000000" w:sz="4" w:space="0"/>
              <w:left w:val="single" w:color="000000" w:sz="4" w:space="0"/>
              <w:bottom w:val="single" w:color="000000" w:sz="4" w:space="0"/>
              <w:right w:val="single" w:color="000000" w:sz="4" w:space="0"/>
            </w:tcBorders>
            <w:vAlign w:val="center"/>
          </w:tcPr>
          <w:p w14:paraId="0B75FDA5">
            <w:pPr>
              <w:jc w:val="center"/>
              <w:rPr>
                <w:rFonts w:ascii="Times New Roman" w:hAnsi="Times New Roman"/>
                <w:sz w:val="22"/>
                <w:szCs w:val="22"/>
              </w:rPr>
            </w:pPr>
            <w:r>
              <w:rPr>
                <w:rFonts w:ascii="Times New Roman" w:hAnsi="Times New Roman"/>
                <w:sz w:val="22"/>
                <w:szCs w:val="22"/>
              </w:rPr>
              <w:t>基金、计划类别</w:t>
            </w:r>
          </w:p>
        </w:tc>
        <w:tc>
          <w:tcPr>
            <w:tcW w:w="773" w:type="pct"/>
            <w:tcBorders>
              <w:top w:val="single" w:color="000000" w:sz="4" w:space="0"/>
              <w:left w:val="single" w:color="000000" w:sz="4" w:space="0"/>
              <w:bottom w:val="single" w:color="000000" w:sz="4" w:space="0"/>
              <w:right w:val="single" w:color="000000" w:sz="4" w:space="0"/>
            </w:tcBorders>
            <w:vAlign w:val="center"/>
          </w:tcPr>
          <w:p w14:paraId="4890561E">
            <w:pPr>
              <w:jc w:val="center"/>
              <w:rPr>
                <w:rFonts w:ascii="Times New Roman" w:hAnsi="Times New Roman"/>
                <w:sz w:val="22"/>
                <w:szCs w:val="22"/>
              </w:rPr>
            </w:pPr>
            <w:r>
              <w:rPr>
                <w:rFonts w:ascii="Times New Roman" w:hAnsi="Times New Roman"/>
                <w:sz w:val="22"/>
                <w:szCs w:val="22"/>
              </w:rPr>
              <w:t>编号</w:t>
            </w:r>
          </w:p>
        </w:tc>
        <w:tc>
          <w:tcPr>
            <w:tcW w:w="998" w:type="pct"/>
            <w:tcBorders>
              <w:top w:val="single" w:color="000000" w:sz="4" w:space="0"/>
              <w:left w:val="single" w:color="000000" w:sz="4" w:space="0"/>
              <w:bottom w:val="single" w:color="000000" w:sz="4" w:space="0"/>
              <w:right w:val="single" w:color="000000" w:sz="4" w:space="0"/>
            </w:tcBorders>
            <w:vAlign w:val="center"/>
          </w:tcPr>
          <w:p w14:paraId="6444990F">
            <w:pPr>
              <w:jc w:val="center"/>
              <w:rPr>
                <w:rFonts w:ascii="Times New Roman" w:hAnsi="Times New Roman"/>
                <w:sz w:val="22"/>
                <w:szCs w:val="22"/>
              </w:rPr>
            </w:pPr>
            <w:r>
              <w:rPr>
                <w:rFonts w:ascii="Times New Roman" w:hAnsi="Times New Roman"/>
                <w:sz w:val="22"/>
                <w:szCs w:val="22"/>
              </w:rPr>
              <w:t>项目名称</w:t>
            </w:r>
          </w:p>
        </w:tc>
        <w:tc>
          <w:tcPr>
            <w:tcW w:w="728" w:type="pct"/>
            <w:tcBorders>
              <w:top w:val="single" w:color="000000" w:sz="4" w:space="0"/>
              <w:left w:val="single" w:color="000000" w:sz="4" w:space="0"/>
              <w:bottom w:val="single" w:color="000000" w:sz="4" w:space="0"/>
              <w:right w:val="single" w:color="000000" w:sz="4" w:space="0"/>
            </w:tcBorders>
            <w:vAlign w:val="center"/>
          </w:tcPr>
          <w:p w14:paraId="36B0BE53">
            <w:pPr>
              <w:jc w:val="center"/>
              <w:rPr>
                <w:rFonts w:ascii="Times New Roman" w:hAnsi="Times New Roman"/>
                <w:sz w:val="22"/>
                <w:szCs w:val="22"/>
              </w:rPr>
            </w:pPr>
            <w:r>
              <w:rPr>
                <w:rFonts w:ascii="Times New Roman" w:hAnsi="Times New Roman"/>
                <w:sz w:val="22"/>
                <w:szCs w:val="22"/>
              </w:rPr>
              <w:t>承担单位</w:t>
            </w:r>
          </w:p>
        </w:tc>
        <w:tc>
          <w:tcPr>
            <w:tcW w:w="522" w:type="pct"/>
            <w:tcBorders>
              <w:top w:val="single" w:color="000000" w:sz="4" w:space="0"/>
              <w:left w:val="single" w:color="000000" w:sz="4" w:space="0"/>
              <w:bottom w:val="single" w:color="000000" w:sz="4" w:space="0"/>
              <w:right w:val="single" w:color="000000" w:sz="4" w:space="0"/>
            </w:tcBorders>
            <w:vAlign w:val="center"/>
          </w:tcPr>
          <w:p w14:paraId="358242E1">
            <w:pPr>
              <w:jc w:val="center"/>
              <w:rPr>
                <w:rFonts w:ascii="Times New Roman" w:hAnsi="Times New Roman"/>
                <w:sz w:val="22"/>
                <w:szCs w:val="22"/>
              </w:rPr>
            </w:pPr>
            <w:r>
              <w:rPr>
                <w:rFonts w:ascii="Times New Roman" w:hAnsi="Times New Roman"/>
                <w:sz w:val="22"/>
                <w:szCs w:val="22"/>
              </w:rPr>
              <w:t>负责人</w:t>
            </w:r>
          </w:p>
        </w:tc>
        <w:tc>
          <w:tcPr>
            <w:tcW w:w="573" w:type="pct"/>
            <w:tcBorders>
              <w:top w:val="single" w:color="000000" w:sz="4" w:space="0"/>
              <w:left w:val="single" w:color="000000" w:sz="4" w:space="0"/>
              <w:bottom w:val="single" w:color="000000" w:sz="4" w:space="0"/>
              <w:right w:val="single" w:color="000000" w:sz="4" w:space="0"/>
            </w:tcBorders>
            <w:vAlign w:val="center"/>
          </w:tcPr>
          <w:p w14:paraId="614C8B93">
            <w:pPr>
              <w:jc w:val="center"/>
              <w:rPr>
                <w:rFonts w:ascii="Times New Roman" w:hAnsi="Times New Roman"/>
                <w:sz w:val="22"/>
                <w:szCs w:val="22"/>
              </w:rPr>
            </w:pPr>
            <w:r>
              <w:rPr>
                <w:rFonts w:ascii="Times New Roman" w:hAnsi="Times New Roman"/>
                <w:sz w:val="22"/>
                <w:szCs w:val="22"/>
              </w:rPr>
              <w:t>执行时间</w:t>
            </w:r>
          </w:p>
        </w:tc>
      </w:tr>
      <w:tr w14:paraId="4C52FC6C">
        <w:tblPrEx>
          <w:tblCellMar>
            <w:top w:w="0" w:type="dxa"/>
            <w:left w:w="0" w:type="dxa"/>
            <w:bottom w:w="0" w:type="dxa"/>
            <w:right w:w="0" w:type="dxa"/>
          </w:tblCellMar>
        </w:tblPrEx>
        <w:trPr>
          <w:trHeight w:val="544" w:hRule="atLeast"/>
          <w:jc w:val="center"/>
        </w:trPr>
        <w:tc>
          <w:tcPr>
            <w:tcW w:w="370" w:type="pct"/>
            <w:tcBorders>
              <w:top w:val="single" w:color="000000" w:sz="4" w:space="0"/>
              <w:left w:val="single" w:color="000000" w:sz="4" w:space="0"/>
              <w:bottom w:val="single" w:color="000000" w:sz="4" w:space="0"/>
              <w:right w:val="single" w:color="000000" w:sz="4" w:space="0"/>
            </w:tcBorders>
            <w:vAlign w:val="center"/>
          </w:tcPr>
          <w:p w14:paraId="45666814">
            <w:pPr>
              <w:jc w:val="center"/>
              <w:rPr>
                <w:rFonts w:ascii="Times New Roman" w:hAnsi="Times New Roman"/>
                <w:sz w:val="22"/>
                <w:szCs w:val="22"/>
              </w:rPr>
            </w:pPr>
            <w:r>
              <w:rPr>
                <w:rFonts w:ascii="Times New Roman" w:hAnsi="Times New Roman"/>
                <w:sz w:val="22"/>
                <w:szCs w:val="22"/>
              </w:rPr>
              <w:t>1</w:t>
            </w:r>
          </w:p>
        </w:tc>
        <w:tc>
          <w:tcPr>
            <w:tcW w:w="1036" w:type="pct"/>
            <w:tcBorders>
              <w:top w:val="single" w:color="000000" w:sz="4" w:space="0"/>
              <w:left w:val="single" w:color="000000" w:sz="4" w:space="0"/>
              <w:bottom w:val="single" w:color="000000" w:sz="4" w:space="0"/>
              <w:right w:val="single" w:color="000000" w:sz="4" w:space="0"/>
            </w:tcBorders>
            <w:vAlign w:val="center"/>
          </w:tcPr>
          <w:p w14:paraId="04B3957F">
            <w:pPr>
              <w:jc w:val="center"/>
              <w:rPr>
                <w:rFonts w:ascii="Times New Roman" w:hAnsi="Times New Roman"/>
                <w:sz w:val="22"/>
                <w:szCs w:val="22"/>
              </w:rPr>
            </w:pPr>
            <w:r>
              <w:rPr>
                <w:rFonts w:hint="eastAsia" w:ascii="Times New Roman" w:hAnsi="Times New Roman"/>
                <w:sz w:val="22"/>
                <w:szCs w:val="22"/>
              </w:rPr>
              <w:t>湖南省科技计划项目</w:t>
            </w:r>
          </w:p>
        </w:tc>
        <w:tc>
          <w:tcPr>
            <w:tcW w:w="773" w:type="pct"/>
            <w:tcBorders>
              <w:top w:val="single" w:color="000000" w:sz="4" w:space="0"/>
              <w:left w:val="single" w:color="000000" w:sz="4" w:space="0"/>
              <w:bottom w:val="single" w:color="000000" w:sz="4" w:space="0"/>
              <w:right w:val="single" w:color="000000" w:sz="4" w:space="0"/>
            </w:tcBorders>
            <w:vAlign w:val="center"/>
          </w:tcPr>
          <w:p w14:paraId="787ACE86">
            <w:pPr>
              <w:jc w:val="center"/>
              <w:rPr>
                <w:rFonts w:ascii="Times New Roman" w:hAnsi="Times New Roman"/>
                <w:sz w:val="22"/>
                <w:szCs w:val="22"/>
              </w:rPr>
            </w:pPr>
            <w:r>
              <w:rPr>
                <w:rFonts w:hint="eastAsia" w:ascii="Times New Roman" w:hAnsi="Times New Roman"/>
                <w:sz w:val="22"/>
                <w:szCs w:val="22"/>
              </w:rPr>
              <w:t>2020SK50518</w:t>
            </w:r>
          </w:p>
        </w:tc>
        <w:tc>
          <w:tcPr>
            <w:tcW w:w="998" w:type="pct"/>
            <w:tcBorders>
              <w:top w:val="single" w:color="000000" w:sz="4" w:space="0"/>
              <w:left w:val="single" w:color="000000" w:sz="4" w:space="0"/>
              <w:bottom w:val="single" w:color="000000" w:sz="4" w:space="0"/>
              <w:right w:val="single" w:color="000000" w:sz="4" w:space="0"/>
            </w:tcBorders>
            <w:vAlign w:val="center"/>
          </w:tcPr>
          <w:p w14:paraId="1A51DD06">
            <w:pPr>
              <w:jc w:val="center"/>
              <w:rPr>
                <w:rFonts w:ascii="Times New Roman" w:hAnsi="Times New Roman"/>
                <w:sz w:val="22"/>
                <w:szCs w:val="22"/>
              </w:rPr>
            </w:pPr>
            <w:r>
              <w:rPr>
                <w:rFonts w:hint="eastAsia" w:ascii="Times New Roman" w:hAnsi="Times New Roman"/>
                <w:sz w:val="22"/>
                <w:szCs w:val="22"/>
              </w:rPr>
              <w:t>生长引导技术治疗儿童先天性胫骨假关节愈合后残余畸形的临床应用研究</w:t>
            </w:r>
          </w:p>
        </w:tc>
        <w:tc>
          <w:tcPr>
            <w:tcW w:w="728" w:type="pct"/>
            <w:tcBorders>
              <w:top w:val="single" w:color="000000" w:sz="4" w:space="0"/>
              <w:left w:val="single" w:color="000000" w:sz="4" w:space="0"/>
              <w:bottom w:val="single" w:color="000000" w:sz="4" w:space="0"/>
              <w:right w:val="single" w:color="000000" w:sz="4" w:space="0"/>
            </w:tcBorders>
            <w:vAlign w:val="center"/>
          </w:tcPr>
          <w:p w14:paraId="5198E9D9">
            <w:pPr>
              <w:jc w:val="center"/>
              <w:rPr>
                <w:rFonts w:ascii="Times New Roman" w:hAnsi="Times New Roman"/>
                <w:sz w:val="22"/>
                <w:szCs w:val="22"/>
              </w:rPr>
            </w:pPr>
            <w:r>
              <w:rPr>
                <w:rFonts w:hint="eastAsia" w:ascii="Times New Roman" w:hAnsi="Times New Roman"/>
                <w:sz w:val="22"/>
                <w:szCs w:val="22"/>
              </w:rPr>
              <w:t>湖南省儿童医院</w:t>
            </w:r>
          </w:p>
        </w:tc>
        <w:tc>
          <w:tcPr>
            <w:tcW w:w="522" w:type="pct"/>
            <w:tcBorders>
              <w:top w:val="single" w:color="000000" w:sz="4" w:space="0"/>
              <w:left w:val="single" w:color="000000" w:sz="4" w:space="0"/>
              <w:bottom w:val="single" w:color="000000" w:sz="4" w:space="0"/>
              <w:right w:val="single" w:color="000000" w:sz="4" w:space="0"/>
            </w:tcBorders>
            <w:vAlign w:val="center"/>
          </w:tcPr>
          <w:p w14:paraId="72500C49">
            <w:pPr>
              <w:jc w:val="center"/>
              <w:rPr>
                <w:rFonts w:ascii="Times New Roman" w:hAnsi="Times New Roman"/>
                <w:sz w:val="22"/>
                <w:szCs w:val="22"/>
              </w:rPr>
            </w:pPr>
            <w:r>
              <w:rPr>
                <w:rFonts w:hint="eastAsia" w:ascii="Times New Roman" w:hAnsi="Times New Roman"/>
                <w:sz w:val="22"/>
                <w:szCs w:val="22"/>
              </w:rPr>
              <w:t>朱光辉</w:t>
            </w:r>
          </w:p>
        </w:tc>
        <w:tc>
          <w:tcPr>
            <w:tcW w:w="573" w:type="pct"/>
            <w:tcBorders>
              <w:top w:val="single" w:color="000000" w:sz="4" w:space="0"/>
              <w:left w:val="single" w:color="000000" w:sz="4" w:space="0"/>
              <w:bottom w:val="single" w:color="000000" w:sz="4" w:space="0"/>
              <w:right w:val="single" w:color="000000" w:sz="4" w:space="0"/>
            </w:tcBorders>
            <w:vAlign w:val="center"/>
          </w:tcPr>
          <w:p w14:paraId="1499A774">
            <w:pPr>
              <w:jc w:val="center"/>
              <w:rPr>
                <w:rFonts w:hint="eastAsia" w:ascii="Times New Roman" w:hAnsi="Times New Roman"/>
                <w:sz w:val="22"/>
                <w:szCs w:val="22"/>
              </w:rPr>
            </w:pPr>
            <w:r>
              <w:rPr>
                <w:rFonts w:hint="eastAsia" w:ascii="Times New Roman" w:hAnsi="Times New Roman"/>
                <w:sz w:val="22"/>
                <w:szCs w:val="22"/>
              </w:rPr>
              <w:t>2020年10月—</w:t>
            </w:r>
          </w:p>
          <w:p w14:paraId="03F4404A">
            <w:pPr>
              <w:jc w:val="center"/>
              <w:rPr>
                <w:rFonts w:ascii="Times New Roman" w:hAnsi="Times New Roman"/>
                <w:sz w:val="22"/>
                <w:szCs w:val="22"/>
              </w:rPr>
            </w:pPr>
            <w:r>
              <w:rPr>
                <w:rFonts w:hint="eastAsia" w:ascii="Times New Roman" w:hAnsi="Times New Roman"/>
                <w:sz w:val="22"/>
                <w:szCs w:val="22"/>
              </w:rPr>
              <w:t>2022年12月</w:t>
            </w:r>
          </w:p>
        </w:tc>
      </w:tr>
    </w:tbl>
    <w:p w14:paraId="66315CA3">
      <w:pPr>
        <w:ind w:firstLine="480" w:firstLineChars="200"/>
        <w:rPr>
          <w:rFonts w:ascii="Times New Roman" w:hAnsi="Times New Roman"/>
          <w:color w:val="0D0D0D"/>
          <w:sz w:val="24"/>
        </w:rPr>
      </w:pPr>
    </w:p>
    <w:p w14:paraId="51EAD098">
      <w:pPr>
        <w:ind w:firstLine="480" w:firstLineChars="200"/>
        <w:rPr>
          <w:rFonts w:ascii="Times New Roman" w:hAnsi="Times New Roman"/>
          <w:color w:val="0D0D0D"/>
          <w:sz w:val="24"/>
        </w:rPr>
      </w:pPr>
    </w:p>
    <w:p w14:paraId="6FA7D789">
      <w:pPr>
        <w:ind w:firstLine="480" w:firstLineChars="200"/>
        <w:rPr>
          <w:rFonts w:ascii="Times New Roman" w:hAnsi="Times New Roman"/>
          <w:color w:val="0D0D0D"/>
          <w:sz w:val="24"/>
        </w:rPr>
      </w:pPr>
    </w:p>
    <w:p w14:paraId="6B85D7E1">
      <w:pPr>
        <w:ind w:firstLine="480" w:firstLineChars="200"/>
        <w:rPr>
          <w:rFonts w:hint="eastAsia" w:ascii="Times New Roman" w:hAnsi="Times New Roman"/>
          <w:color w:val="0D0D0D"/>
          <w:sz w:val="24"/>
        </w:rPr>
      </w:pPr>
    </w:p>
    <w:p w14:paraId="524617B0">
      <w:pPr>
        <w:ind w:firstLine="480" w:firstLineChars="200"/>
        <w:rPr>
          <w:rFonts w:ascii="Times New Roman" w:hAnsi="Times New Roman"/>
          <w:color w:val="0D0D0D"/>
          <w:sz w:val="24"/>
        </w:rPr>
      </w:pPr>
      <w:r>
        <w:rPr>
          <w:rFonts w:ascii="Times New Roman" w:hAnsi="Times New Roman"/>
          <w:color w:val="0D0D0D"/>
          <w:sz w:val="24"/>
        </w:rPr>
        <w:t>8.应用单位目录</w:t>
      </w:r>
    </w:p>
    <w:tbl>
      <w:tblPr>
        <w:tblStyle w:val="6"/>
        <w:tblW w:w="90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1"/>
        <w:gridCol w:w="2001"/>
        <w:gridCol w:w="2357"/>
        <w:gridCol w:w="2457"/>
      </w:tblGrid>
      <w:tr w14:paraId="56F3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1" w:type="dxa"/>
            <w:vAlign w:val="center"/>
          </w:tcPr>
          <w:p w14:paraId="782C9535">
            <w:pPr>
              <w:jc w:val="center"/>
              <w:rPr>
                <w:rFonts w:ascii="Times New Roman" w:hAnsi="Times New Roman" w:eastAsiaTheme="majorEastAsia"/>
                <w:sz w:val="22"/>
                <w:szCs w:val="22"/>
              </w:rPr>
            </w:pPr>
            <w:r>
              <w:rPr>
                <w:rFonts w:ascii="Times New Roman" w:hAnsi="Times New Roman" w:eastAsiaTheme="majorEastAsia"/>
                <w:sz w:val="22"/>
                <w:szCs w:val="22"/>
              </w:rPr>
              <w:t>应用单位名称</w:t>
            </w:r>
          </w:p>
        </w:tc>
        <w:tc>
          <w:tcPr>
            <w:tcW w:w="2001" w:type="dxa"/>
            <w:vAlign w:val="center"/>
          </w:tcPr>
          <w:p w14:paraId="61650F9B">
            <w:pPr>
              <w:jc w:val="center"/>
              <w:rPr>
                <w:rFonts w:ascii="Times New Roman" w:hAnsi="Times New Roman" w:eastAsiaTheme="majorEastAsia"/>
                <w:sz w:val="22"/>
                <w:szCs w:val="22"/>
              </w:rPr>
            </w:pPr>
            <w:r>
              <w:rPr>
                <w:rFonts w:ascii="Times New Roman" w:hAnsi="Times New Roman" w:eastAsiaTheme="majorEastAsia"/>
                <w:sz w:val="22"/>
                <w:szCs w:val="22"/>
              </w:rPr>
              <w:t>应用技术</w:t>
            </w:r>
          </w:p>
        </w:tc>
        <w:tc>
          <w:tcPr>
            <w:tcW w:w="2357" w:type="dxa"/>
            <w:vAlign w:val="center"/>
          </w:tcPr>
          <w:p w14:paraId="7D14A929">
            <w:pPr>
              <w:jc w:val="center"/>
              <w:rPr>
                <w:rFonts w:ascii="Times New Roman" w:hAnsi="Times New Roman" w:eastAsiaTheme="majorEastAsia"/>
                <w:sz w:val="22"/>
                <w:szCs w:val="22"/>
              </w:rPr>
            </w:pPr>
            <w:r>
              <w:rPr>
                <w:rFonts w:ascii="Times New Roman" w:hAnsi="Times New Roman" w:eastAsiaTheme="majorEastAsia"/>
                <w:sz w:val="22"/>
                <w:szCs w:val="22"/>
              </w:rPr>
              <w:t>应用的起止时间</w:t>
            </w:r>
          </w:p>
        </w:tc>
        <w:tc>
          <w:tcPr>
            <w:tcW w:w="2457" w:type="dxa"/>
            <w:vAlign w:val="center"/>
          </w:tcPr>
          <w:p w14:paraId="1CAA93C4">
            <w:pPr>
              <w:jc w:val="center"/>
              <w:rPr>
                <w:rFonts w:ascii="Times New Roman" w:hAnsi="Times New Roman" w:eastAsiaTheme="majorEastAsia"/>
                <w:sz w:val="22"/>
                <w:szCs w:val="22"/>
              </w:rPr>
            </w:pPr>
            <w:r>
              <w:rPr>
                <w:rFonts w:ascii="Times New Roman" w:hAnsi="Times New Roman" w:eastAsiaTheme="majorEastAsia"/>
                <w:sz w:val="22"/>
                <w:szCs w:val="22"/>
              </w:rPr>
              <w:t>应用单位联系人/电话</w:t>
            </w:r>
          </w:p>
        </w:tc>
      </w:tr>
      <w:tr w14:paraId="3920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1" w:type="dxa"/>
            <w:vAlign w:val="center"/>
          </w:tcPr>
          <w:p w14:paraId="56D1CB66">
            <w:pPr>
              <w:jc w:val="center"/>
              <w:rPr>
                <w:rFonts w:ascii="Times New Roman" w:hAnsi="Times New Roman" w:eastAsiaTheme="majorEastAsia"/>
                <w:sz w:val="22"/>
                <w:szCs w:val="22"/>
              </w:rPr>
            </w:pPr>
            <w:r>
              <w:rPr>
                <w:rFonts w:hint="eastAsia" w:ascii="Times New Roman" w:hAnsi="Times New Roman" w:eastAsiaTheme="majorEastAsia"/>
                <w:sz w:val="22"/>
                <w:szCs w:val="22"/>
              </w:rPr>
              <w:t>中南大学湘雅二医院</w:t>
            </w:r>
          </w:p>
        </w:tc>
        <w:tc>
          <w:tcPr>
            <w:tcW w:w="2001" w:type="dxa"/>
            <w:vAlign w:val="center"/>
          </w:tcPr>
          <w:p w14:paraId="4974E03F">
            <w:pPr>
              <w:jc w:val="center"/>
              <w:rPr>
                <w:rFonts w:ascii="Times New Roman" w:hAnsi="Times New Roman" w:eastAsiaTheme="majorEastAsia"/>
                <w:sz w:val="22"/>
                <w:szCs w:val="22"/>
              </w:rPr>
            </w:pPr>
            <w:r>
              <w:rPr>
                <w:rFonts w:hint="eastAsia" w:ascii="Times New Roman" w:hAnsi="Times New Roman" w:eastAsiaTheme="majorEastAsia"/>
                <w:sz w:val="22"/>
                <w:szCs w:val="22"/>
              </w:rPr>
              <w:t>生长引导技术治疗儿童下肢成角畸形的临床应用研究</w:t>
            </w:r>
          </w:p>
        </w:tc>
        <w:tc>
          <w:tcPr>
            <w:tcW w:w="2357" w:type="dxa"/>
            <w:vAlign w:val="center"/>
          </w:tcPr>
          <w:p w14:paraId="23CBA2B6">
            <w:pPr>
              <w:jc w:val="center"/>
              <w:rPr>
                <w:rFonts w:ascii="Times New Roman" w:hAnsi="Times New Roman" w:eastAsiaTheme="majorEastAsia"/>
                <w:sz w:val="22"/>
                <w:szCs w:val="22"/>
              </w:rPr>
            </w:pPr>
            <w:r>
              <w:rPr>
                <w:rFonts w:hint="eastAsia" w:ascii="Times New Roman" w:hAnsi="Times New Roman" w:eastAsiaTheme="majorEastAsia"/>
                <w:sz w:val="22"/>
                <w:szCs w:val="22"/>
              </w:rPr>
              <w:t>2023-1-1至2025-12-31</w:t>
            </w:r>
          </w:p>
        </w:tc>
        <w:tc>
          <w:tcPr>
            <w:tcW w:w="2457" w:type="dxa"/>
            <w:vAlign w:val="center"/>
          </w:tcPr>
          <w:p w14:paraId="562DE114">
            <w:pPr>
              <w:jc w:val="center"/>
              <w:rPr>
                <w:rFonts w:ascii="Times New Roman" w:hAnsi="Times New Roman" w:eastAsiaTheme="majorEastAsia"/>
                <w:sz w:val="22"/>
                <w:szCs w:val="22"/>
              </w:rPr>
            </w:pPr>
            <w:r>
              <w:rPr>
                <w:rFonts w:hint="eastAsia" w:ascii="Times New Roman" w:hAnsi="Times New Roman" w:eastAsiaTheme="majorEastAsia"/>
                <w:sz w:val="22"/>
                <w:szCs w:val="22"/>
              </w:rPr>
              <w:t>刘傥13574831843</w:t>
            </w:r>
          </w:p>
        </w:tc>
      </w:tr>
      <w:tr w14:paraId="6AC7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1" w:type="dxa"/>
            <w:vAlign w:val="center"/>
          </w:tcPr>
          <w:p w14:paraId="34F15B8A">
            <w:pPr>
              <w:jc w:val="center"/>
              <w:rPr>
                <w:rFonts w:ascii="Times New Roman" w:hAnsi="Times New Roman" w:eastAsiaTheme="majorEastAsia"/>
                <w:sz w:val="22"/>
                <w:szCs w:val="22"/>
              </w:rPr>
            </w:pPr>
            <w:r>
              <w:rPr>
                <w:rFonts w:hint="eastAsia" w:ascii="Times New Roman" w:hAnsi="Times New Roman" w:eastAsiaTheme="majorEastAsia"/>
                <w:sz w:val="22"/>
                <w:szCs w:val="22"/>
              </w:rPr>
              <w:t>湖南省人民医院</w:t>
            </w:r>
          </w:p>
        </w:tc>
        <w:tc>
          <w:tcPr>
            <w:tcW w:w="2001" w:type="dxa"/>
            <w:vAlign w:val="center"/>
          </w:tcPr>
          <w:p w14:paraId="2A518212">
            <w:pPr>
              <w:jc w:val="center"/>
              <w:rPr>
                <w:rFonts w:ascii="Times New Roman" w:hAnsi="Times New Roman" w:eastAsiaTheme="majorEastAsia"/>
                <w:sz w:val="22"/>
                <w:szCs w:val="22"/>
              </w:rPr>
            </w:pPr>
            <w:r>
              <w:rPr>
                <w:rFonts w:hint="eastAsia" w:ascii="Times New Roman" w:hAnsi="Times New Roman" w:eastAsiaTheme="majorEastAsia"/>
                <w:sz w:val="22"/>
                <w:szCs w:val="22"/>
              </w:rPr>
              <w:t>生长引导技术治疗儿童下肢成角畸形的临床应用研究</w:t>
            </w:r>
          </w:p>
        </w:tc>
        <w:tc>
          <w:tcPr>
            <w:tcW w:w="2357" w:type="dxa"/>
            <w:vAlign w:val="center"/>
          </w:tcPr>
          <w:p w14:paraId="13F7A437">
            <w:pPr>
              <w:jc w:val="center"/>
              <w:rPr>
                <w:rFonts w:ascii="Times New Roman" w:hAnsi="Times New Roman" w:eastAsiaTheme="majorEastAsia"/>
                <w:sz w:val="22"/>
                <w:szCs w:val="22"/>
              </w:rPr>
            </w:pPr>
            <w:r>
              <w:rPr>
                <w:rFonts w:hint="eastAsia" w:ascii="Times New Roman" w:hAnsi="Times New Roman" w:eastAsiaTheme="majorEastAsia"/>
                <w:sz w:val="22"/>
                <w:szCs w:val="22"/>
              </w:rPr>
              <w:t>2023-1-1至2025-12-31</w:t>
            </w:r>
          </w:p>
        </w:tc>
        <w:tc>
          <w:tcPr>
            <w:tcW w:w="2457" w:type="dxa"/>
            <w:vAlign w:val="center"/>
          </w:tcPr>
          <w:p w14:paraId="1E6383E3">
            <w:pPr>
              <w:jc w:val="center"/>
              <w:rPr>
                <w:rFonts w:ascii="Times New Roman" w:hAnsi="Times New Roman" w:eastAsiaTheme="majorEastAsia"/>
                <w:sz w:val="22"/>
                <w:szCs w:val="22"/>
              </w:rPr>
            </w:pPr>
            <w:r>
              <w:rPr>
                <w:rFonts w:hint="eastAsia" w:ascii="Times New Roman" w:hAnsi="Times New Roman" w:eastAsiaTheme="majorEastAsia"/>
                <w:sz w:val="22"/>
                <w:szCs w:val="22"/>
              </w:rPr>
              <w:t>肖晟13786187789</w:t>
            </w:r>
          </w:p>
        </w:tc>
      </w:tr>
      <w:tr w14:paraId="6755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1" w:type="dxa"/>
            <w:vAlign w:val="center"/>
          </w:tcPr>
          <w:p w14:paraId="7B040708">
            <w:pPr>
              <w:jc w:val="center"/>
              <w:rPr>
                <w:rFonts w:hint="eastAsia" w:ascii="Times New Roman" w:hAnsi="Times New Roman" w:eastAsiaTheme="majorEastAsia"/>
                <w:sz w:val="22"/>
                <w:szCs w:val="22"/>
              </w:rPr>
            </w:pPr>
            <w:r>
              <w:rPr>
                <w:rFonts w:hint="eastAsia" w:ascii="Times New Roman" w:hAnsi="Times New Roman" w:eastAsiaTheme="majorEastAsia"/>
                <w:sz w:val="22"/>
                <w:szCs w:val="22"/>
              </w:rPr>
              <w:t>广州妇女儿童医院</w:t>
            </w:r>
          </w:p>
        </w:tc>
        <w:tc>
          <w:tcPr>
            <w:tcW w:w="2001" w:type="dxa"/>
            <w:vAlign w:val="center"/>
          </w:tcPr>
          <w:p w14:paraId="648EAAA0">
            <w:pPr>
              <w:jc w:val="center"/>
              <w:rPr>
                <w:rFonts w:ascii="Times New Roman" w:hAnsi="Times New Roman" w:eastAsiaTheme="majorEastAsia"/>
                <w:sz w:val="22"/>
                <w:szCs w:val="22"/>
              </w:rPr>
            </w:pPr>
            <w:r>
              <w:rPr>
                <w:rFonts w:hint="eastAsia" w:ascii="Times New Roman" w:hAnsi="Times New Roman" w:eastAsiaTheme="majorEastAsia"/>
                <w:sz w:val="22"/>
                <w:szCs w:val="22"/>
              </w:rPr>
              <w:t>生长引导技术治疗儿童下肢成角畸形的临床应用研究</w:t>
            </w:r>
          </w:p>
        </w:tc>
        <w:tc>
          <w:tcPr>
            <w:tcW w:w="2357" w:type="dxa"/>
            <w:vAlign w:val="center"/>
          </w:tcPr>
          <w:p w14:paraId="5034AB8B">
            <w:pPr>
              <w:jc w:val="center"/>
              <w:rPr>
                <w:rFonts w:ascii="Times New Roman" w:hAnsi="Times New Roman" w:eastAsiaTheme="majorEastAsia"/>
                <w:sz w:val="22"/>
                <w:szCs w:val="22"/>
              </w:rPr>
            </w:pPr>
            <w:r>
              <w:rPr>
                <w:rFonts w:hint="eastAsia" w:ascii="Times New Roman" w:hAnsi="Times New Roman" w:eastAsiaTheme="majorEastAsia"/>
                <w:sz w:val="22"/>
                <w:szCs w:val="22"/>
              </w:rPr>
              <w:t>2023-1-1至2025-12-31</w:t>
            </w:r>
          </w:p>
        </w:tc>
        <w:tc>
          <w:tcPr>
            <w:tcW w:w="2457" w:type="dxa"/>
            <w:vAlign w:val="center"/>
          </w:tcPr>
          <w:p w14:paraId="6455194A">
            <w:pPr>
              <w:jc w:val="center"/>
              <w:rPr>
                <w:rFonts w:hint="eastAsia" w:ascii="Times New Roman" w:hAnsi="Times New Roman" w:eastAsiaTheme="majorEastAsia"/>
                <w:sz w:val="22"/>
                <w:szCs w:val="22"/>
              </w:rPr>
            </w:pPr>
            <w:r>
              <w:rPr>
                <w:rFonts w:hint="eastAsia" w:ascii="Times New Roman" w:hAnsi="Times New Roman" w:eastAsiaTheme="majorEastAsia"/>
                <w:sz w:val="22"/>
                <w:szCs w:val="22"/>
              </w:rPr>
              <w:t>徐宏文</w:t>
            </w:r>
          </w:p>
          <w:p w14:paraId="0FA5D129">
            <w:pPr>
              <w:jc w:val="center"/>
              <w:rPr>
                <w:rFonts w:ascii="Times New Roman" w:hAnsi="Times New Roman" w:eastAsiaTheme="majorEastAsia"/>
                <w:sz w:val="22"/>
                <w:szCs w:val="22"/>
              </w:rPr>
            </w:pPr>
            <w:r>
              <w:rPr>
                <w:rFonts w:hint="eastAsia" w:ascii="Times New Roman" w:hAnsi="Times New Roman" w:eastAsiaTheme="majorEastAsia"/>
                <w:sz w:val="22"/>
                <w:szCs w:val="22"/>
              </w:rPr>
              <w:t>13798037237</w:t>
            </w:r>
          </w:p>
        </w:tc>
      </w:tr>
      <w:tr w14:paraId="24AA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1" w:type="dxa"/>
            <w:vAlign w:val="center"/>
          </w:tcPr>
          <w:p w14:paraId="60CC5BD2">
            <w:pPr>
              <w:jc w:val="center"/>
              <w:rPr>
                <w:rFonts w:hint="eastAsia" w:ascii="Times New Roman" w:hAnsi="Times New Roman" w:eastAsiaTheme="majorEastAsia"/>
                <w:sz w:val="22"/>
                <w:szCs w:val="22"/>
              </w:rPr>
            </w:pPr>
            <w:r>
              <w:rPr>
                <w:rFonts w:hint="eastAsia" w:ascii="Times New Roman" w:hAnsi="Times New Roman" w:eastAsiaTheme="majorEastAsia"/>
                <w:sz w:val="22"/>
                <w:szCs w:val="22"/>
              </w:rPr>
              <w:t>桂林市妇女儿童医院</w:t>
            </w:r>
          </w:p>
        </w:tc>
        <w:tc>
          <w:tcPr>
            <w:tcW w:w="2001" w:type="dxa"/>
            <w:vAlign w:val="center"/>
          </w:tcPr>
          <w:p w14:paraId="1AEB68A0">
            <w:pPr>
              <w:jc w:val="center"/>
              <w:rPr>
                <w:rFonts w:ascii="Times New Roman" w:hAnsi="Times New Roman" w:eastAsiaTheme="majorEastAsia"/>
                <w:sz w:val="22"/>
                <w:szCs w:val="22"/>
              </w:rPr>
            </w:pPr>
            <w:r>
              <w:rPr>
                <w:rFonts w:hint="eastAsia" w:ascii="Times New Roman" w:hAnsi="Times New Roman" w:eastAsiaTheme="majorEastAsia"/>
                <w:sz w:val="22"/>
                <w:szCs w:val="22"/>
              </w:rPr>
              <w:t>生长引导技术治疗儿童下肢成角畸形的临床应用研究</w:t>
            </w:r>
          </w:p>
        </w:tc>
        <w:tc>
          <w:tcPr>
            <w:tcW w:w="2357" w:type="dxa"/>
            <w:vAlign w:val="center"/>
          </w:tcPr>
          <w:p w14:paraId="541973BA">
            <w:pPr>
              <w:jc w:val="center"/>
              <w:rPr>
                <w:rFonts w:ascii="Times New Roman" w:hAnsi="Times New Roman" w:eastAsiaTheme="majorEastAsia"/>
                <w:sz w:val="22"/>
                <w:szCs w:val="22"/>
              </w:rPr>
            </w:pPr>
            <w:r>
              <w:rPr>
                <w:rFonts w:hint="eastAsia" w:ascii="Times New Roman" w:hAnsi="Times New Roman" w:eastAsiaTheme="majorEastAsia"/>
                <w:sz w:val="22"/>
                <w:szCs w:val="22"/>
              </w:rPr>
              <w:t>2023-1-1至2025-12-31</w:t>
            </w:r>
          </w:p>
        </w:tc>
        <w:tc>
          <w:tcPr>
            <w:tcW w:w="2457" w:type="dxa"/>
            <w:vAlign w:val="center"/>
          </w:tcPr>
          <w:p w14:paraId="742F5648">
            <w:pPr>
              <w:jc w:val="center"/>
              <w:rPr>
                <w:rFonts w:hint="eastAsia" w:ascii="Times New Roman" w:hAnsi="Times New Roman" w:eastAsiaTheme="majorEastAsia"/>
                <w:sz w:val="22"/>
                <w:szCs w:val="22"/>
              </w:rPr>
            </w:pPr>
            <w:r>
              <w:rPr>
                <w:rFonts w:hint="eastAsia" w:ascii="Times New Roman" w:hAnsi="Times New Roman" w:eastAsiaTheme="majorEastAsia"/>
                <w:sz w:val="22"/>
                <w:szCs w:val="22"/>
              </w:rPr>
              <w:t>龚植超</w:t>
            </w:r>
          </w:p>
          <w:p w14:paraId="0C4AB09F">
            <w:pPr>
              <w:jc w:val="center"/>
              <w:rPr>
                <w:rFonts w:ascii="Times New Roman" w:hAnsi="Times New Roman" w:eastAsiaTheme="majorEastAsia"/>
                <w:sz w:val="22"/>
                <w:szCs w:val="22"/>
              </w:rPr>
            </w:pPr>
            <w:r>
              <w:rPr>
                <w:rFonts w:hint="eastAsia" w:ascii="Times New Roman" w:hAnsi="Times New Roman" w:eastAsiaTheme="majorEastAsia"/>
                <w:sz w:val="22"/>
                <w:szCs w:val="22"/>
              </w:rPr>
              <w:t>13236931273</w:t>
            </w:r>
          </w:p>
          <w:p w14:paraId="6F7989D9">
            <w:pPr>
              <w:jc w:val="center"/>
              <w:rPr>
                <w:rFonts w:ascii="Times New Roman" w:hAnsi="Times New Roman" w:eastAsiaTheme="majorEastAsia"/>
                <w:sz w:val="22"/>
                <w:szCs w:val="22"/>
              </w:rPr>
            </w:pPr>
          </w:p>
        </w:tc>
      </w:tr>
      <w:tr w14:paraId="3DC9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71" w:type="dxa"/>
            <w:vAlign w:val="center"/>
          </w:tcPr>
          <w:p w14:paraId="3207028A">
            <w:pPr>
              <w:jc w:val="center"/>
              <w:rPr>
                <w:rFonts w:ascii="Times New Roman" w:hAnsi="Times New Roman" w:eastAsiaTheme="majorEastAsia"/>
                <w:sz w:val="22"/>
                <w:szCs w:val="22"/>
              </w:rPr>
            </w:pPr>
            <w:r>
              <w:rPr>
                <w:rFonts w:hint="eastAsia" w:ascii="Times New Roman" w:hAnsi="Times New Roman" w:eastAsiaTheme="majorEastAsia"/>
                <w:sz w:val="22"/>
                <w:szCs w:val="22"/>
              </w:rPr>
              <w:t>赣州市妇幼保健院</w:t>
            </w:r>
          </w:p>
        </w:tc>
        <w:tc>
          <w:tcPr>
            <w:tcW w:w="2001" w:type="dxa"/>
            <w:vAlign w:val="center"/>
          </w:tcPr>
          <w:p w14:paraId="51F93F33">
            <w:pPr>
              <w:jc w:val="center"/>
              <w:rPr>
                <w:rFonts w:ascii="Times New Roman" w:hAnsi="Times New Roman" w:eastAsiaTheme="majorEastAsia"/>
                <w:sz w:val="22"/>
                <w:szCs w:val="22"/>
              </w:rPr>
            </w:pPr>
            <w:r>
              <w:rPr>
                <w:rFonts w:hint="eastAsia" w:ascii="Times New Roman" w:hAnsi="Times New Roman" w:eastAsiaTheme="majorEastAsia"/>
                <w:sz w:val="22"/>
                <w:szCs w:val="22"/>
              </w:rPr>
              <w:t>生长引导技术治疗儿童下肢成角畸形的临床应用研究</w:t>
            </w:r>
          </w:p>
        </w:tc>
        <w:tc>
          <w:tcPr>
            <w:tcW w:w="2357" w:type="dxa"/>
            <w:vAlign w:val="center"/>
          </w:tcPr>
          <w:p w14:paraId="61FA63EA">
            <w:pPr>
              <w:jc w:val="center"/>
              <w:rPr>
                <w:rFonts w:ascii="Times New Roman" w:hAnsi="Times New Roman" w:eastAsiaTheme="majorEastAsia"/>
                <w:sz w:val="22"/>
                <w:szCs w:val="22"/>
              </w:rPr>
            </w:pPr>
            <w:r>
              <w:rPr>
                <w:rFonts w:hint="eastAsia" w:ascii="Times New Roman" w:hAnsi="Times New Roman" w:eastAsiaTheme="majorEastAsia"/>
                <w:sz w:val="22"/>
                <w:szCs w:val="22"/>
              </w:rPr>
              <w:t>2023-1-1至2025-12-31</w:t>
            </w:r>
          </w:p>
        </w:tc>
        <w:tc>
          <w:tcPr>
            <w:tcW w:w="2457" w:type="dxa"/>
            <w:vAlign w:val="center"/>
          </w:tcPr>
          <w:p w14:paraId="1B247292">
            <w:pPr>
              <w:jc w:val="center"/>
              <w:rPr>
                <w:rFonts w:hint="eastAsia" w:ascii="Times New Roman" w:hAnsi="Times New Roman" w:eastAsiaTheme="majorEastAsia"/>
                <w:sz w:val="22"/>
                <w:szCs w:val="22"/>
              </w:rPr>
            </w:pPr>
            <w:r>
              <w:rPr>
                <w:rFonts w:hint="eastAsia" w:ascii="Times New Roman" w:hAnsi="Times New Roman" w:eastAsiaTheme="majorEastAsia"/>
                <w:sz w:val="22"/>
                <w:szCs w:val="22"/>
              </w:rPr>
              <w:t>袁淦峰</w:t>
            </w:r>
          </w:p>
          <w:p w14:paraId="5DD7E06C">
            <w:pPr>
              <w:jc w:val="center"/>
              <w:rPr>
                <w:rFonts w:ascii="Times New Roman" w:hAnsi="Times New Roman" w:eastAsiaTheme="majorEastAsia"/>
                <w:sz w:val="22"/>
                <w:szCs w:val="22"/>
              </w:rPr>
            </w:pPr>
            <w:r>
              <w:rPr>
                <w:rFonts w:hint="eastAsia" w:ascii="Times New Roman" w:hAnsi="Times New Roman" w:eastAsiaTheme="majorEastAsia"/>
                <w:sz w:val="22"/>
                <w:szCs w:val="22"/>
              </w:rPr>
              <w:t>15270688051</w:t>
            </w:r>
          </w:p>
        </w:tc>
      </w:tr>
    </w:tbl>
    <w:p w14:paraId="0A4D50F7">
      <w:pPr>
        <w:ind w:firstLine="480" w:firstLineChars="200"/>
        <w:rPr>
          <w:rFonts w:ascii="Times New Roman" w:hAnsi="Times New Roman"/>
          <w:color w:val="0D0D0D"/>
          <w:sz w:val="24"/>
        </w:rPr>
      </w:pPr>
    </w:p>
    <w:p w14:paraId="39B89AEA">
      <w:pPr>
        <w:ind w:firstLine="480" w:firstLineChars="200"/>
        <w:rPr>
          <w:rFonts w:hint="eastAsia" w:ascii="Times New Roman" w:hAnsi="Times New Roman"/>
          <w:color w:val="0D0D0D"/>
          <w:sz w:val="24"/>
        </w:rPr>
      </w:pPr>
    </w:p>
    <w:p w14:paraId="66078CFB">
      <w:pPr>
        <w:ind w:firstLine="480" w:firstLineChars="200"/>
        <w:rPr>
          <w:rFonts w:ascii="Times New Roman" w:hAnsi="Times New Roman"/>
          <w:color w:val="0D0D0D"/>
          <w:sz w:val="24"/>
        </w:rPr>
      </w:pPr>
      <w:r>
        <w:rPr>
          <w:rFonts w:ascii="Times New Roman" w:hAnsi="Times New Roman"/>
          <w:color w:val="0D0D0D"/>
          <w:sz w:val="24"/>
        </w:rPr>
        <w:t>9.科普作品目录</w:t>
      </w:r>
    </w:p>
    <w:p w14:paraId="116C6D97">
      <w:pPr>
        <w:ind w:firstLine="480" w:firstLineChars="200"/>
        <w:rPr>
          <w:rFonts w:hint="eastAsia" w:ascii="Times New Roman" w:hAnsi="Times New Roman"/>
          <w:color w:val="0D0D0D"/>
          <w:sz w:val="24"/>
        </w:rPr>
      </w:pPr>
      <w:r>
        <w:rPr>
          <w:rFonts w:hint="eastAsia" w:ascii="Times New Roman" w:hAnsi="Times New Roman"/>
          <w:color w:val="0D0D0D"/>
          <w:sz w:val="24"/>
        </w:rPr>
        <w:t>无</w:t>
      </w:r>
    </w:p>
    <w:p w14:paraId="4AB8756A">
      <w:pPr>
        <w:ind w:firstLine="480" w:firstLineChars="200"/>
        <w:rPr>
          <w:rFonts w:ascii="Times New Roman" w:hAnsi="Times New Roman"/>
          <w:color w:val="0D0D0D"/>
          <w:sz w:val="24"/>
        </w:rPr>
      </w:pPr>
      <w:r>
        <w:rPr>
          <w:rFonts w:ascii="Times New Roman" w:hAnsi="Times New Roman"/>
          <w:color w:val="0D0D0D"/>
          <w:sz w:val="24"/>
        </w:rPr>
        <w:t>10.完成人情况，包括姓名、排名、职称、行政职务、工作单位、对本项目的贡献</w:t>
      </w: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60840F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352EEA76">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63E588AE">
            <w:pPr>
              <w:pStyle w:val="2"/>
              <w:spacing w:line="390" w:lineRule="exact"/>
              <w:jc w:val="center"/>
              <w:rPr>
                <w:rFonts w:ascii="Times New Roman" w:hAnsi="Times New Roman"/>
                <w:sz w:val="22"/>
                <w:szCs w:val="22"/>
              </w:rPr>
            </w:pPr>
            <w:r>
              <w:rPr>
                <w:rFonts w:hint="eastAsia" w:ascii="Times New Roman" w:hAnsi="Times New Roman"/>
                <w:sz w:val="22"/>
                <w:szCs w:val="22"/>
              </w:rPr>
              <w:t>朱光辉</w:t>
            </w:r>
          </w:p>
        </w:tc>
        <w:tc>
          <w:tcPr>
            <w:tcW w:w="1248" w:type="dxa"/>
            <w:tcBorders>
              <w:top w:val="single" w:color="auto" w:sz="4" w:space="0"/>
            </w:tcBorders>
            <w:vAlign w:val="center"/>
          </w:tcPr>
          <w:p w14:paraId="77B976EA">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2113EAF1">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1428E3D0">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7FB8683E">
            <w:pPr>
              <w:pStyle w:val="2"/>
              <w:spacing w:line="390" w:lineRule="exact"/>
              <w:jc w:val="center"/>
              <w:rPr>
                <w:rFonts w:ascii="Times New Roman" w:hAnsi="Times New Roman"/>
                <w:sz w:val="22"/>
                <w:szCs w:val="22"/>
              </w:rPr>
            </w:pPr>
            <w:r>
              <w:rPr>
                <w:rFonts w:hint="eastAsia" w:ascii="Times New Roman" w:hAnsi="Times New Roman"/>
                <w:sz w:val="22"/>
                <w:szCs w:val="22"/>
              </w:rPr>
              <w:t>1</w:t>
            </w:r>
          </w:p>
        </w:tc>
      </w:tr>
      <w:tr w14:paraId="6B197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54DB79AF">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02D819E0">
            <w:pPr>
              <w:pStyle w:val="2"/>
              <w:spacing w:line="390" w:lineRule="exact"/>
              <w:jc w:val="center"/>
              <w:rPr>
                <w:rFonts w:ascii="Times New Roman" w:hAnsi="Times New Roman"/>
                <w:sz w:val="22"/>
                <w:szCs w:val="22"/>
              </w:rPr>
            </w:pPr>
            <w:r>
              <w:rPr>
                <w:rFonts w:hint="eastAsia" w:ascii="Times New Roman" w:hAnsi="Times New Roman"/>
                <w:sz w:val="22"/>
                <w:szCs w:val="22"/>
              </w:rPr>
              <w:t>主任医师</w:t>
            </w:r>
          </w:p>
        </w:tc>
        <w:tc>
          <w:tcPr>
            <w:tcW w:w="1248" w:type="dxa"/>
            <w:vAlign w:val="center"/>
          </w:tcPr>
          <w:p w14:paraId="37655E0C">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46D5CAA1">
            <w:pPr>
              <w:pStyle w:val="2"/>
              <w:spacing w:line="390" w:lineRule="exact"/>
              <w:jc w:val="center"/>
              <w:rPr>
                <w:rFonts w:hint="eastAsia" w:ascii="Times New Roman" w:hAnsi="Times New Roman"/>
                <w:sz w:val="22"/>
                <w:szCs w:val="22"/>
              </w:rPr>
            </w:pPr>
            <w:r>
              <w:rPr>
                <w:rFonts w:hint="eastAsia" w:ascii="Times New Roman" w:hAnsi="Times New Roman"/>
                <w:sz w:val="22"/>
                <w:szCs w:val="22"/>
              </w:rPr>
              <w:t>科主任</w:t>
            </w:r>
          </w:p>
        </w:tc>
        <w:tc>
          <w:tcPr>
            <w:tcW w:w="1502" w:type="dxa"/>
            <w:vAlign w:val="center"/>
          </w:tcPr>
          <w:p w14:paraId="12CB4BEC">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1C2C5083">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7EC92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1B4D12F6">
            <w:pPr>
              <w:pStyle w:val="2"/>
              <w:spacing w:line="390" w:lineRule="exact"/>
              <w:rPr>
                <w:rFonts w:ascii="Times New Roman" w:hAnsi="Times New Roman"/>
                <w:sz w:val="22"/>
                <w:szCs w:val="22"/>
              </w:rPr>
            </w:pPr>
            <w:r>
              <w:rPr>
                <w:rFonts w:ascii="Times New Roman" w:hAnsi="Times New Roman"/>
                <w:sz w:val="22"/>
                <w:szCs w:val="22"/>
              </w:rPr>
              <w:t>对本项目主要贡献：</w:t>
            </w:r>
          </w:p>
          <w:p w14:paraId="1F68491A">
            <w:pPr>
              <w:pStyle w:val="2"/>
              <w:spacing w:line="390" w:lineRule="exact"/>
              <w:ind w:firstLine="440" w:firstLineChars="200"/>
              <w:rPr>
                <w:rFonts w:hint="eastAsia" w:ascii="Times New Roman" w:hAnsi="Times New Roman"/>
                <w:sz w:val="22"/>
                <w:szCs w:val="22"/>
              </w:rPr>
            </w:pPr>
            <w:r>
              <w:rPr>
                <w:rFonts w:hint="eastAsia" w:ascii="Times New Roman" w:hAnsi="Times New Roman"/>
                <w:sz w:val="22"/>
                <w:szCs w:val="22"/>
              </w:rPr>
              <w:t>项目总负责人，对创新点二、三、四作出核心贡献。担任论文6、7、8、9的通信作者（分别排名第12、13、14、2位），在创新点二中首次确立aMPTA 82°~87°的最佳取出时机标准；在创新点三中牵头将新型U形钉应用于NF1胫骨前外侧成角畸形及马蹄内翻足矢状面跖屈畸形的治疗；在创新点四中系统揭示过度矫正是反弹的主要危险因素，建立全流程防治策略。</w:t>
            </w:r>
            <w:r>
              <w:rPr>
                <w:rFonts w:ascii="Times New Roman" w:hAnsi="Times New Roman"/>
                <w:sz w:val="22"/>
                <w:szCs w:val="22"/>
              </w:rPr>
              <w:t xml:space="preserve"> </w:t>
            </w:r>
          </w:p>
        </w:tc>
      </w:tr>
    </w:tbl>
    <w:p w14:paraId="0A12A328">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6F1BA6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60A84D13">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33A1C598">
            <w:pPr>
              <w:pStyle w:val="2"/>
              <w:spacing w:line="390" w:lineRule="exact"/>
              <w:jc w:val="center"/>
              <w:rPr>
                <w:rFonts w:ascii="Times New Roman" w:hAnsi="Times New Roman"/>
                <w:sz w:val="22"/>
                <w:szCs w:val="22"/>
              </w:rPr>
            </w:pPr>
            <w:r>
              <w:rPr>
                <w:rFonts w:hint="eastAsia" w:ascii="Times New Roman" w:hAnsi="Times New Roman"/>
                <w:sz w:val="22"/>
                <w:szCs w:val="22"/>
              </w:rPr>
              <w:t>梅海波</w:t>
            </w:r>
          </w:p>
        </w:tc>
        <w:tc>
          <w:tcPr>
            <w:tcW w:w="1248" w:type="dxa"/>
            <w:tcBorders>
              <w:top w:val="single" w:color="auto" w:sz="4" w:space="0"/>
            </w:tcBorders>
            <w:vAlign w:val="center"/>
          </w:tcPr>
          <w:p w14:paraId="60261D14">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31365F55">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0DF41C45">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68ED351E">
            <w:pPr>
              <w:pStyle w:val="2"/>
              <w:spacing w:line="390" w:lineRule="exact"/>
              <w:jc w:val="center"/>
              <w:rPr>
                <w:rFonts w:ascii="Times New Roman" w:hAnsi="Times New Roman"/>
                <w:sz w:val="22"/>
                <w:szCs w:val="22"/>
              </w:rPr>
            </w:pPr>
            <w:r>
              <w:rPr>
                <w:rFonts w:hint="eastAsia" w:ascii="Times New Roman" w:hAnsi="Times New Roman"/>
                <w:sz w:val="22"/>
                <w:szCs w:val="22"/>
              </w:rPr>
              <w:t>2</w:t>
            </w:r>
          </w:p>
        </w:tc>
      </w:tr>
      <w:tr w14:paraId="251271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12D42317">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6F52F09C">
            <w:pPr>
              <w:pStyle w:val="2"/>
              <w:spacing w:line="390" w:lineRule="exact"/>
              <w:jc w:val="center"/>
              <w:rPr>
                <w:rFonts w:ascii="Times New Roman" w:hAnsi="Times New Roman"/>
                <w:sz w:val="22"/>
                <w:szCs w:val="22"/>
              </w:rPr>
            </w:pPr>
            <w:r>
              <w:rPr>
                <w:rFonts w:hint="eastAsia" w:ascii="Times New Roman" w:hAnsi="Times New Roman"/>
                <w:sz w:val="22"/>
                <w:szCs w:val="22"/>
              </w:rPr>
              <w:t>主任医师</w:t>
            </w:r>
          </w:p>
        </w:tc>
        <w:tc>
          <w:tcPr>
            <w:tcW w:w="1248" w:type="dxa"/>
            <w:vAlign w:val="center"/>
          </w:tcPr>
          <w:p w14:paraId="5BE586E8">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0F756466">
            <w:pPr>
              <w:pStyle w:val="2"/>
              <w:spacing w:line="390" w:lineRule="exact"/>
              <w:jc w:val="center"/>
              <w:rPr>
                <w:rFonts w:ascii="Times New Roman" w:hAnsi="Times New Roman"/>
                <w:sz w:val="22"/>
                <w:szCs w:val="22"/>
              </w:rPr>
            </w:pPr>
            <w:r>
              <w:rPr>
                <w:rFonts w:hint="eastAsia" w:ascii="Times New Roman" w:hAnsi="Times New Roman"/>
                <w:sz w:val="22"/>
                <w:szCs w:val="22"/>
              </w:rPr>
              <w:t>科主任</w:t>
            </w:r>
          </w:p>
        </w:tc>
        <w:tc>
          <w:tcPr>
            <w:tcW w:w="1502" w:type="dxa"/>
            <w:vAlign w:val="center"/>
          </w:tcPr>
          <w:p w14:paraId="25996909">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095F38CB">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5763D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4FA8808F">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027ED952">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核心负责人，对创新点一、三、五作出核心贡献。以独立作者完成论文1（排名第1）；以通信作者完成论文2（排名第6）、3（排名第4）、4（排名第9）、5（排名第6）、10（排名第6）。在创新点一中主导新型U形钉的自主研发设计；在创新点三中奠定生长引导技术的理论与技术基础并拓展至ALBT治疗；在创新点五中首次完成三种植入物头对头比较研究。</w:t>
            </w:r>
          </w:p>
        </w:tc>
      </w:tr>
    </w:tbl>
    <w:p w14:paraId="02841DA4">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39CFA9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06D80ED8">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29BE1810">
            <w:pPr>
              <w:pStyle w:val="2"/>
              <w:spacing w:line="390" w:lineRule="exact"/>
              <w:jc w:val="center"/>
              <w:rPr>
                <w:rFonts w:ascii="Times New Roman" w:hAnsi="Times New Roman"/>
                <w:sz w:val="22"/>
                <w:szCs w:val="22"/>
              </w:rPr>
            </w:pPr>
            <w:r>
              <w:rPr>
                <w:rFonts w:hint="eastAsia" w:ascii="Times New Roman" w:hAnsi="Times New Roman"/>
                <w:sz w:val="22"/>
                <w:szCs w:val="22"/>
              </w:rPr>
              <w:t>胡雄科</w:t>
            </w:r>
          </w:p>
        </w:tc>
        <w:tc>
          <w:tcPr>
            <w:tcW w:w="1248" w:type="dxa"/>
            <w:tcBorders>
              <w:top w:val="single" w:color="auto" w:sz="4" w:space="0"/>
            </w:tcBorders>
            <w:vAlign w:val="center"/>
          </w:tcPr>
          <w:p w14:paraId="7CADDC00">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34DDE310">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3F5CA86A">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60B5CEE9">
            <w:pPr>
              <w:pStyle w:val="2"/>
              <w:spacing w:line="390" w:lineRule="exact"/>
              <w:jc w:val="center"/>
              <w:rPr>
                <w:rFonts w:ascii="Times New Roman" w:hAnsi="Times New Roman"/>
                <w:sz w:val="22"/>
                <w:szCs w:val="22"/>
              </w:rPr>
            </w:pPr>
            <w:r>
              <w:rPr>
                <w:rFonts w:hint="eastAsia" w:ascii="Times New Roman" w:hAnsi="Times New Roman"/>
                <w:sz w:val="22"/>
                <w:szCs w:val="22"/>
              </w:rPr>
              <w:t>3</w:t>
            </w:r>
          </w:p>
        </w:tc>
      </w:tr>
      <w:tr w14:paraId="19C2C1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6EB0BE55">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0D82C5EF">
            <w:pPr>
              <w:pStyle w:val="2"/>
              <w:spacing w:line="390" w:lineRule="exact"/>
              <w:jc w:val="center"/>
              <w:rPr>
                <w:rFonts w:ascii="Times New Roman" w:hAnsi="Times New Roman"/>
                <w:sz w:val="22"/>
                <w:szCs w:val="22"/>
              </w:rPr>
            </w:pPr>
            <w:r>
              <w:rPr>
                <w:rFonts w:hint="eastAsia" w:ascii="Times New Roman" w:hAnsi="Times New Roman"/>
                <w:sz w:val="22"/>
                <w:szCs w:val="22"/>
              </w:rPr>
              <w:t>副主任医师</w:t>
            </w:r>
          </w:p>
        </w:tc>
        <w:tc>
          <w:tcPr>
            <w:tcW w:w="1248" w:type="dxa"/>
            <w:vAlign w:val="center"/>
          </w:tcPr>
          <w:p w14:paraId="6CF00975">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4FA7D114">
            <w:pPr>
              <w:pStyle w:val="2"/>
              <w:spacing w:line="390" w:lineRule="exact"/>
              <w:jc w:val="center"/>
              <w:rPr>
                <w:rFonts w:hint="eastAsia" w:ascii="Times New Roman" w:hAnsi="Times New Roman"/>
                <w:sz w:val="22"/>
                <w:szCs w:val="22"/>
              </w:rPr>
            </w:pPr>
            <w:r>
              <w:rPr>
                <w:rFonts w:hint="eastAsia" w:ascii="Times New Roman" w:hAnsi="Times New Roman"/>
                <w:sz w:val="22"/>
                <w:szCs w:val="22"/>
              </w:rPr>
              <w:t>无</w:t>
            </w:r>
          </w:p>
        </w:tc>
        <w:tc>
          <w:tcPr>
            <w:tcW w:w="1502" w:type="dxa"/>
            <w:vAlign w:val="center"/>
          </w:tcPr>
          <w:p w14:paraId="740CC49A">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28DF4E12">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41B1F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5F82ADD0">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0EA09648">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核心骨干，对创新点一、五作出主要贡献。以第一作者完成论文2、3、5（均排名第1）。在创新点一中负责U形钉临床应用的数据收集与疗效验证；在创新点五中首次完成三种植入物的对比研究，证实U形钉的综合效能优势。</w:t>
            </w:r>
          </w:p>
        </w:tc>
      </w:tr>
    </w:tbl>
    <w:p w14:paraId="2419D3DA">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43AE67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66B44E74">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2E32A17E">
            <w:pPr>
              <w:pStyle w:val="2"/>
              <w:spacing w:line="390" w:lineRule="exact"/>
              <w:jc w:val="center"/>
              <w:rPr>
                <w:rFonts w:ascii="Times New Roman" w:hAnsi="Times New Roman"/>
                <w:sz w:val="22"/>
                <w:szCs w:val="22"/>
              </w:rPr>
            </w:pPr>
            <w:r>
              <w:rPr>
                <w:rFonts w:hint="eastAsia" w:ascii="Times New Roman" w:hAnsi="Times New Roman"/>
                <w:sz w:val="22"/>
                <w:szCs w:val="22"/>
              </w:rPr>
              <w:t>肖汉</w:t>
            </w:r>
          </w:p>
        </w:tc>
        <w:tc>
          <w:tcPr>
            <w:tcW w:w="1248" w:type="dxa"/>
            <w:tcBorders>
              <w:top w:val="single" w:color="auto" w:sz="4" w:space="0"/>
            </w:tcBorders>
            <w:vAlign w:val="center"/>
          </w:tcPr>
          <w:p w14:paraId="676A2115">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6D841950">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7FCC0779">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51479F12">
            <w:pPr>
              <w:pStyle w:val="2"/>
              <w:spacing w:line="390" w:lineRule="exact"/>
              <w:jc w:val="center"/>
              <w:rPr>
                <w:rFonts w:ascii="Times New Roman" w:hAnsi="Times New Roman"/>
                <w:sz w:val="22"/>
                <w:szCs w:val="22"/>
              </w:rPr>
            </w:pPr>
            <w:r>
              <w:rPr>
                <w:rFonts w:hint="eastAsia" w:ascii="Times New Roman" w:hAnsi="Times New Roman"/>
                <w:sz w:val="22"/>
                <w:szCs w:val="22"/>
              </w:rPr>
              <w:t>4</w:t>
            </w:r>
          </w:p>
        </w:tc>
      </w:tr>
      <w:tr w14:paraId="17512E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14D6E37F">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12E2292D">
            <w:pPr>
              <w:pStyle w:val="2"/>
              <w:spacing w:line="390" w:lineRule="exact"/>
              <w:jc w:val="center"/>
              <w:rPr>
                <w:rFonts w:ascii="Times New Roman" w:hAnsi="Times New Roman"/>
                <w:sz w:val="22"/>
                <w:szCs w:val="22"/>
              </w:rPr>
            </w:pPr>
            <w:r>
              <w:rPr>
                <w:rFonts w:hint="eastAsia" w:ascii="Times New Roman" w:hAnsi="Times New Roman"/>
                <w:sz w:val="22"/>
                <w:szCs w:val="22"/>
              </w:rPr>
              <w:t>主治医师</w:t>
            </w:r>
          </w:p>
        </w:tc>
        <w:tc>
          <w:tcPr>
            <w:tcW w:w="1248" w:type="dxa"/>
            <w:vAlign w:val="center"/>
          </w:tcPr>
          <w:p w14:paraId="09525301">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364714EC">
            <w:pPr>
              <w:pStyle w:val="2"/>
              <w:spacing w:line="390" w:lineRule="exact"/>
              <w:jc w:val="center"/>
              <w:rPr>
                <w:rFonts w:ascii="Times New Roman" w:hAnsi="Times New Roman"/>
                <w:sz w:val="22"/>
                <w:szCs w:val="22"/>
              </w:rPr>
            </w:pPr>
            <w:r>
              <w:rPr>
                <w:rFonts w:hint="eastAsia" w:ascii="Times New Roman" w:hAnsi="Times New Roman"/>
                <w:sz w:val="22"/>
                <w:szCs w:val="22"/>
              </w:rPr>
              <w:t>无</w:t>
            </w:r>
          </w:p>
        </w:tc>
        <w:tc>
          <w:tcPr>
            <w:tcW w:w="1502" w:type="dxa"/>
            <w:vAlign w:val="center"/>
          </w:tcPr>
          <w:p w14:paraId="5FFA671E">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2452CB62">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25EE9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2063F61E">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46DCF6A3">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重要成员，对创新点二、四作出主要贡献。以第一作者完成论文6（排名第1）。系统验证了8字钢板半骨骺阻滞术矫正胫骨近端外翻的疗效（矫正速率1.26°/月），首次报道22.2%的畸形反弹率，为最佳取出时机确立和反弹预警体系建立提供关键数据支撑。</w:t>
            </w:r>
          </w:p>
        </w:tc>
      </w:tr>
    </w:tbl>
    <w:p w14:paraId="0F18ECD6">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523F2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6627B086">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1BABE6C3">
            <w:pPr>
              <w:pStyle w:val="2"/>
              <w:spacing w:line="390" w:lineRule="exact"/>
              <w:jc w:val="center"/>
              <w:rPr>
                <w:rFonts w:ascii="Times New Roman" w:hAnsi="Times New Roman"/>
                <w:sz w:val="22"/>
                <w:szCs w:val="22"/>
              </w:rPr>
            </w:pPr>
            <w:r>
              <w:rPr>
                <w:rFonts w:hint="eastAsia" w:ascii="Times New Roman" w:hAnsi="Times New Roman"/>
                <w:sz w:val="22"/>
                <w:szCs w:val="22"/>
              </w:rPr>
              <w:t>谭谦</w:t>
            </w:r>
          </w:p>
        </w:tc>
        <w:tc>
          <w:tcPr>
            <w:tcW w:w="1248" w:type="dxa"/>
            <w:tcBorders>
              <w:top w:val="single" w:color="auto" w:sz="4" w:space="0"/>
            </w:tcBorders>
            <w:vAlign w:val="center"/>
          </w:tcPr>
          <w:p w14:paraId="2CC097C4">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738AF445">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34C9F281">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42690705">
            <w:pPr>
              <w:pStyle w:val="2"/>
              <w:spacing w:line="390" w:lineRule="exact"/>
              <w:jc w:val="center"/>
              <w:rPr>
                <w:rFonts w:ascii="Times New Roman" w:hAnsi="Times New Roman"/>
                <w:sz w:val="22"/>
                <w:szCs w:val="22"/>
              </w:rPr>
            </w:pPr>
            <w:r>
              <w:rPr>
                <w:rFonts w:hint="eastAsia" w:ascii="Times New Roman" w:hAnsi="Times New Roman"/>
                <w:sz w:val="22"/>
                <w:szCs w:val="22"/>
              </w:rPr>
              <w:t>5</w:t>
            </w:r>
          </w:p>
        </w:tc>
      </w:tr>
      <w:tr w14:paraId="4F37A5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5AF83801">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7F896742">
            <w:pPr>
              <w:pStyle w:val="2"/>
              <w:spacing w:line="390" w:lineRule="exact"/>
              <w:jc w:val="center"/>
              <w:rPr>
                <w:rFonts w:ascii="Times New Roman" w:hAnsi="Times New Roman"/>
                <w:sz w:val="22"/>
                <w:szCs w:val="22"/>
              </w:rPr>
            </w:pPr>
            <w:r>
              <w:rPr>
                <w:rFonts w:hint="eastAsia" w:ascii="Times New Roman" w:hAnsi="Times New Roman"/>
                <w:sz w:val="22"/>
                <w:szCs w:val="22"/>
              </w:rPr>
              <w:t>主任医师</w:t>
            </w:r>
          </w:p>
        </w:tc>
        <w:tc>
          <w:tcPr>
            <w:tcW w:w="1248" w:type="dxa"/>
            <w:vAlign w:val="center"/>
          </w:tcPr>
          <w:p w14:paraId="554B5A91">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46DE55CD">
            <w:pPr>
              <w:pStyle w:val="2"/>
              <w:spacing w:line="390" w:lineRule="exact"/>
              <w:jc w:val="center"/>
              <w:rPr>
                <w:rFonts w:ascii="Times New Roman" w:hAnsi="Times New Roman"/>
                <w:sz w:val="22"/>
                <w:szCs w:val="22"/>
              </w:rPr>
            </w:pPr>
            <w:r>
              <w:rPr>
                <w:rFonts w:hint="eastAsia" w:ascii="Times New Roman" w:hAnsi="Times New Roman"/>
                <w:sz w:val="22"/>
                <w:szCs w:val="22"/>
              </w:rPr>
              <w:t>骨一科主任</w:t>
            </w:r>
          </w:p>
        </w:tc>
        <w:tc>
          <w:tcPr>
            <w:tcW w:w="1502" w:type="dxa"/>
            <w:vAlign w:val="center"/>
          </w:tcPr>
          <w:p w14:paraId="5A8E6D3E">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2501C036">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786C7E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24D69BBE">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17F04AA6">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项目成员，对创新点一、三作出辅助贡献。参与论文5（排名第2）、6（排名第5）、8（排名第10）。在CPT术后踝外翻、胫骨近端外翻及马蹄内翻足等研究中承担病例管理与影像学评估工作。</w:t>
            </w:r>
          </w:p>
        </w:tc>
      </w:tr>
    </w:tbl>
    <w:p w14:paraId="517FF8F8">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7C742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3F8363AB">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2E936BCB">
            <w:pPr>
              <w:pStyle w:val="2"/>
              <w:spacing w:line="390" w:lineRule="exact"/>
              <w:jc w:val="center"/>
              <w:rPr>
                <w:rFonts w:ascii="Times New Roman" w:hAnsi="Times New Roman"/>
                <w:sz w:val="22"/>
                <w:szCs w:val="22"/>
              </w:rPr>
            </w:pPr>
            <w:r>
              <w:rPr>
                <w:rFonts w:hint="eastAsia" w:ascii="Times New Roman" w:hAnsi="Times New Roman"/>
                <w:sz w:val="22"/>
                <w:szCs w:val="22"/>
              </w:rPr>
              <w:t>杨戈</w:t>
            </w:r>
          </w:p>
        </w:tc>
        <w:tc>
          <w:tcPr>
            <w:tcW w:w="1248" w:type="dxa"/>
            <w:tcBorders>
              <w:top w:val="single" w:color="auto" w:sz="4" w:space="0"/>
            </w:tcBorders>
            <w:vAlign w:val="center"/>
          </w:tcPr>
          <w:p w14:paraId="689B07F6">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1E8D5192">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2E7F026A">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598C7512">
            <w:pPr>
              <w:pStyle w:val="2"/>
              <w:spacing w:line="390" w:lineRule="exact"/>
              <w:jc w:val="center"/>
              <w:rPr>
                <w:rFonts w:ascii="Times New Roman" w:hAnsi="Times New Roman"/>
                <w:sz w:val="22"/>
                <w:szCs w:val="22"/>
              </w:rPr>
            </w:pPr>
            <w:r>
              <w:rPr>
                <w:rFonts w:hint="eastAsia" w:ascii="Times New Roman" w:hAnsi="Times New Roman"/>
                <w:sz w:val="22"/>
                <w:szCs w:val="22"/>
              </w:rPr>
              <w:t>6</w:t>
            </w:r>
          </w:p>
        </w:tc>
      </w:tr>
      <w:tr w14:paraId="110207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0F37259D">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51AABFE4">
            <w:pPr>
              <w:pStyle w:val="2"/>
              <w:spacing w:line="390" w:lineRule="exact"/>
              <w:jc w:val="center"/>
              <w:rPr>
                <w:rFonts w:ascii="Times New Roman" w:hAnsi="Times New Roman"/>
                <w:sz w:val="22"/>
                <w:szCs w:val="22"/>
              </w:rPr>
            </w:pPr>
            <w:r>
              <w:rPr>
                <w:rFonts w:hint="eastAsia" w:ascii="Times New Roman" w:hAnsi="Times New Roman"/>
                <w:sz w:val="22"/>
                <w:szCs w:val="22"/>
              </w:rPr>
              <w:t>副主任医师</w:t>
            </w:r>
          </w:p>
        </w:tc>
        <w:tc>
          <w:tcPr>
            <w:tcW w:w="1248" w:type="dxa"/>
            <w:vAlign w:val="center"/>
          </w:tcPr>
          <w:p w14:paraId="1E906F16">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26026FFE">
            <w:pPr>
              <w:pStyle w:val="2"/>
              <w:spacing w:line="390" w:lineRule="exact"/>
              <w:jc w:val="center"/>
              <w:rPr>
                <w:rFonts w:ascii="Times New Roman" w:hAnsi="Times New Roman"/>
                <w:sz w:val="22"/>
                <w:szCs w:val="22"/>
              </w:rPr>
            </w:pPr>
            <w:r>
              <w:rPr>
                <w:rFonts w:hint="eastAsia" w:ascii="Times New Roman" w:hAnsi="Times New Roman"/>
                <w:sz w:val="22"/>
                <w:szCs w:val="22"/>
              </w:rPr>
              <w:t>骨一科副主任</w:t>
            </w:r>
          </w:p>
        </w:tc>
        <w:tc>
          <w:tcPr>
            <w:tcW w:w="1502" w:type="dxa"/>
            <w:vAlign w:val="center"/>
          </w:tcPr>
          <w:p w14:paraId="468F2450">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7C70DE03">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07E32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15F36234">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350B26FA">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项目成员，对创新点三作出辅助贡献。参与论文8（排名第6）。负责马蹄内翻足研究的影像学数据采集、ADTA测量和踝关节背伸角度评估工作。</w:t>
            </w:r>
          </w:p>
        </w:tc>
      </w:tr>
    </w:tbl>
    <w:p w14:paraId="68C6ECD7">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12710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6CF12C1E">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7B367B79">
            <w:pPr>
              <w:pStyle w:val="2"/>
              <w:spacing w:line="390" w:lineRule="exact"/>
              <w:jc w:val="center"/>
              <w:rPr>
                <w:rFonts w:ascii="Times New Roman" w:hAnsi="Times New Roman"/>
                <w:sz w:val="22"/>
                <w:szCs w:val="22"/>
              </w:rPr>
            </w:pPr>
            <w:r>
              <w:rPr>
                <w:rFonts w:hint="eastAsia" w:ascii="Times New Roman" w:hAnsi="Times New Roman"/>
                <w:sz w:val="22"/>
                <w:szCs w:val="22"/>
              </w:rPr>
              <w:t>刘昆</w:t>
            </w:r>
          </w:p>
        </w:tc>
        <w:tc>
          <w:tcPr>
            <w:tcW w:w="1248" w:type="dxa"/>
            <w:tcBorders>
              <w:top w:val="single" w:color="auto" w:sz="4" w:space="0"/>
            </w:tcBorders>
            <w:vAlign w:val="center"/>
          </w:tcPr>
          <w:p w14:paraId="742BC578">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4E4377D1">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0D586412">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1303C389">
            <w:pPr>
              <w:pStyle w:val="2"/>
              <w:spacing w:line="390" w:lineRule="exact"/>
              <w:jc w:val="center"/>
              <w:rPr>
                <w:rFonts w:ascii="Times New Roman" w:hAnsi="Times New Roman"/>
                <w:sz w:val="22"/>
                <w:szCs w:val="22"/>
              </w:rPr>
            </w:pPr>
            <w:r>
              <w:rPr>
                <w:rFonts w:hint="eastAsia" w:ascii="Times New Roman" w:hAnsi="Times New Roman"/>
                <w:sz w:val="22"/>
                <w:szCs w:val="22"/>
              </w:rPr>
              <w:t>7</w:t>
            </w:r>
          </w:p>
        </w:tc>
      </w:tr>
      <w:tr w14:paraId="45D02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16011622">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42BAC76E">
            <w:pPr>
              <w:pStyle w:val="2"/>
              <w:spacing w:line="390" w:lineRule="exact"/>
              <w:jc w:val="center"/>
              <w:rPr>
                <w:rFonts w:ascii="Times New Roman" w:hAnsi="Times New Roman"/>
                <w:sz w:val="22"/>
                <w:szCs w:val="22"/>
              </w:rPr>
            </w:pPr>
            <w:r>
              <w:rPr>
                <w:rFonts w:hint="eastAsia" w:ascii="Times New Roman" w:hAnsi="Times New Roman"/>
                <w:sz w:val="22"/>
                <w:szCs w:val="22"/>
              </w:rPr>
              <w:t>主任医师</w:t>
            </w:r>
          </w:p>
        </w:tc>
        <w:tc>
          <w:tcPr>
            <w:tcW w:w="1248" w:type="dxa"/>
            <w:vAlign w:val="center"/>
          </w:tcPr>
          <w:p w14:paraId="12819FD4">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11DD4BD4">
            <w:pPr>
              <w:pStyle w:val="2"/>
              <w:spacing w:line="390" w:lineRule="exact"/>
              <w:jc w:val="center"/>
              <w:rPr>
                <w:rFonts w:ascii="Times New Roman" w:hAnsi="Times New Roman"/>
                <w:sz w:val="22"/>
                <w:szCs w:val="22"/>
              </w:rPr>
            </w:pPr>
            <w:r>
              <w:rPr>
                <w:rFonts w:hint="eastAsia" w:ascii="Times New Roman" w:hAnsi="Times New Roman"/>
                <w:sz w:val="22"/>
                <w:szCs w:val="22"/>
              </w:rPr>
              <w:t>骨一科副主任</w:t>
            </w:r>
          </w:p>
        </w:tc>
        <w:tc>
          <w:tcPr>
            <w:tcW w:w="1502" w:type="dxa"/>
            <w:vAlign w:val="center"/>
          </w:tcPr>
          <w:p w14:paraId="71B2C640">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726C74F7">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3C789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5C9BD8F3">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61DED404">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核心骨干，对创新点一、二、三、五均作出重要贡献。参与论文2（排名第3）、3（排名第3）、4（排名第6）、5（排名第4）、6（排名第4）、7（排名第8）、8（排名第7）、10（排名第5）。在多项研究中承担临床病例管理、手术治疗及长期随访工作，是本项目临床数据的主要积累者。</w:t>
            </w:r>
          </w:p>
        </w:tc>
      </w:tr>
    </w:tbl>
    <w:p w14:paraId="6033C691">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479A2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3E193C3C">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69289B51">
            <w:pPr>
              <w:pStyle w:val="2"/>
              <w:spacing w:line="390" w:lineRule="exact"/>
              <w:jc w:val="center"/>
              <w:rPr>
                <w:rFonts w:ascii="Times New Roman" w:hAnsi="Times New Roman"/>
                <w:sz w:val="22"/>
                <w:szCs w:val="22"/>
              </w:rPr>
            </w:pPr>
            <w:r>
              <w:rPr>
                <w:rFonts w:hint="eastAsia" w:ascii="Times New Roman" w:hAnsi="Times New Roman"/>
                <w:sz w:val="22"/>
                <w:szCs w:val="22"/>
              </w:rPr>
              <w:t>严安</w:t>
            </w:r>
          </w:p>
        </w:tc>
        <w:tc>
          <w:tcPr>
            <w:tcW w:w="1248" w:type="dxa"/>
            <w:tcBorders>
              <w:top w:val="single" w:color="auto" w:sz="4" w:space="0"/>
            </w:tcBorders>
            <w:vAlign w:val="center"/>
          </w:tcPr>
          <w:p w14:paraId="55DB643E">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5CA174FD">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3911FF47">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027B19D1">
            <w:pPr>
              <w:pStyle w:val="2"/>
              <w:spacing w:line="390" w:lineRule="exact"/>
              <w:jc w:val="center"/>
              <w:rPr>
                <w:rFonts w:ascii="Times New Roman" w:hAnsi="Times New Roman"/>
                <w:sz w:val="22"/>
                <w:szCs w:val="22"/>
              </w:rPr>
            </w:pPr>
            <w:r>
              <w:rPr>
                <w:rFonts w:hint="eastAsia" w:ascii="Times New Roman" w:hAnsi="Times New Roman"/>
                <w:sz w:val="22"/>
                <w:szCs w:val="22"/>
              </w:rPr>
              <w:t>8</w:t>
            </w:r>
          </w:p>
        </w:tc>
      </w:tr>
      <w:tr w14:paraId="5D7E5A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7F6F2205">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65790350">
            <w:pPr>
              <w:pStyle w:val="2"/>
              <w:spacing w:line="390" w:lineRule="exact"/>
              <w:jc w:val="center"/>
              <w:rPr>
                <w:rFonts w:ascii="Times New Roman" w:hAnsi="Times New Roman"/>
                <w:sz w:val="22"/>
                <w:szCs w:val="22"/>
              </w:rPr>
            </w:pPr>
            <w:r>
              <w:rPr>
                <w:rFonts w:hint="eastAsia" w:ascii="Times New Roman" w:hAnsi="Times New Roman"/>
                <w:sz w:val="22"/>
                <w:szCs w:val="22"/>
              </w:rPr>
              <w:t>副主任医师</w:t>
            </w:r>
          </w:p>
        </w:tc>
        <w:tc>
          <w:tcPr>
            <w:tcW w:w="1248" w:type="dxa"/>
            <w:vAlign w:val="center"/>
          </w:tcPr>
          <w:p w14:paraId="6E810AAC">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678356ED">
            <w:pPr>
              <w:pStyle w:val="2"/>
              <w:spacing w:line="390" w:lineRule="exact"/>
              <w:jc w:val="center"/>
              <w:rPr>
                <w:rFonts w:ascii="Times New Roman" w:hAnsi="Times New Roman"/>
                <w:sz w:val="22"/>
                <w:szCs w:val="22"/>
              </w:rPr>
            </w:pPr>
            <w:r>
              <w:rPr>
                <w:rFonts w:hint="eastAsia" w:ascii="Times New Roman" w:hAnsi="Times New Roman"/>
                <w:sz w:val="22"/>
                <w:szCs w:val="22"/>
              </w:rPr>
              <w:t>无</w:t>
            </w:r>
          </w:p>
        </w:tc>
        <w:tc>
          <w:tcPr>
            <w:tcW w:w="1502" w:type="dxa"/>
            <w:vAlign w:val="center"/>
          </w:tcPr>
          <w:p w14:paraId="34AAB869">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147166B8">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4EBDE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536CD457">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111ADDDB">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项目成员，对创新点三作出辅助贡献。参与论文8（排名第9）。协助完成马蹄内翻足病例筛选、围手术期管理和数据整理工作。</w:t>
            </w:r>
          </w:p>
        </w:tc>
      </w:tr>
    </w:tbl>
    <w:p w14:paraId="165FBDE7">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7CCA3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5F83AE4E">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59C2D933">
            <w:pPr>
              <w:pStyle w:val="2"/>
              <w:spacing w:line="390" w:lineRule="exact"/>
              <w:jc w:val="center"/>
              <w:rPr>
                <w:rFonts w:ascii="Times New Roman" w:hAnsi="Times New Roman"/>
                <w:sz w:val="22"/>
                <w:szCs w:val="22"/>
              </w:rPr>
            </w:pPr>
            <w:r>
              <w:rPr>
                <w:rFonts w:hint="eastAsia" w:ascii="Times New Roman" w:hAnsi="Times New Roman"/>
                <w:sz w:val="22"/>
                <w:szCs w:val="22"/>
              </w:rPr>
              <w:t>叶卫华</w:t>
            </w:r>
          </w:p>
        </w:tc>
        <w:tc>
          <w:tcPr>
            <w:tcW w:w="1248" w:type="dxa"/>
            <w:tcBorders>
              <w:top w:val="single" w:color="auto" w:sz="4" w:space="0"/>
            </w:tcBorders>
            <w:vAlign w:val="center"/>
          </w:tcPr>
          <w:p w14:paraId="231364D4">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3A0FD0B0">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0BC5C835">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3D9E4BAE">
            <w:pPr>
              <w:pStyle w:val="2"/>
              <w:spacing w:line="390" w:lineRule="exact"/>
              <w:jc w:val="center"/>
              <w:rPr>
                <w:rFonts w:ascii="Times New Roman" w:hAnsi="Times New Roman"/>
                <w:sz w:val="22"/>
                <w:szCs w:val="22"/>
              </w:rPr>
            </w:pPr>
            <w:r>
              <w:rPr>
                <w:rFonts w:hint="eastAsia" w:ascii="Times New Roman" w:hAnsi="Times New Roman"/>
                <w:sz w:val="22"/>
                <w:szCs w:val="22"/>
              </w:rPr>
              <w:t>9</w:t>
            </w:r>
          </w:p>
        </w:tc>
      </w:tr>
      <w:tr w14:paraId="0B4C5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7470103A">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0A2B707E">
            <w:pPr>
              <w:pStyle w:val="2"/>
              <w:spacing w:line="390" w:lineRule="exact"/>
              <w:jc w:val="center"/>
              <w:rPr>
                <w:rFonts w:ascii="Times New Roman" w:hAnsi="Times New Roman"/>
                <w:sz w:val="22"/>
                <w:szCs w:val="22"/>
              </w:rPr>
            </w:pPr>
            <w:r>
              <w:rPr>
                <w:rFonts w:hint="eastAsia" w:ascii="Times New Roman" w:hAnsi="Times New Roman"/>
                <w:sz w:val="22"/>
                <w:szCs w:val="22"/>
              </w:rPr>
              <w:t>副主任医师</w:t>
            </w:r>
          </w:p>
        </w:tc>
        <w:tc>
          <w:tcPr>
            <w:tcW w:w="1248" w:type="dxa"/>
            <w:vAlign w:val="center"/>
          </w:tcPr>
          <w:p w14:paraId="3F874925">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440DF332">
            <w:pPr>
              <w:pStyle w:val="2"/>
              <w:spacing w:line="390" w:lineRule="exact"/>
              <w:jc w:val="center"/>
              <w:rPr>
                <w:rFonts w:ascii="Times New Roman" w:hAnsi="Times New Roman"/>
                <w:sz w:val="22"/>
                <w:szCs w:val="22"/>
              </w:rPr>
            </w:pPr>
            <w:r>
              <w:rPr>
                <w:rFonts w:hint="eastAsia" w:ascii="Times New Roman" w:hAnsi="Times New Roman"/>
                <w:sz w:val="22"/>
                <w:szCs w:val="22"/>
              </w:rPr>
              <w:t>无</w:t>
            </w:r>
          </w:p>
        </w:tc>
        <w:tc>
          <w:tcPr>
            <w:tcW w:w="1502" w:type="dxa"/>
            <w:vAlign w:val="center"/>
          </w:tcPr>
          <w:p w14:paraId="6637AE70">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012BE066">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69E27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0AB7A865">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6F4FF7CE">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成员，参与NF1胫骨前外侧成角畸形（论文7）和马蹄内翻足矢状面跖屈畸形（论文8）的研究工作。在影像学资料调阅、畸形角度测量和文献检索方面承担具体任务，为论文的数据准确性和文献完整性提供了保障。</w:t>
            </w:r>
          </w:p>
        </w:tc>
      </w:tr>
    </w:tbl>
    <w:p w14:paraId="43B08A3E">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26208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3DDB9234">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2B84B0AE">
            <w:pPr>
              <w:pStyle w:val="2"/>
              <w:spacing w:line="390" w:lineRule="exact"/>
              <w:jc w:val="center"/>
              <w:rPr>
                <w:rFonts w:ascii="Times New Roman" w:hAnsi="Times New Roman"/>
                <w:sz w:val="22"/>
                <w:szCs w:val="22"/>
              </w:rPr>
            </w:pPr>
            <w:r>
              <w:rPr>
                <w:rFonts w:hint="eastAsia" w:ascii="Times New Roman" w:hAnsi="Times New Roman"/>
                <w:sz w:val="22"/>
                <w:szCs w:val="22"/>
              </w:rPr>
              <w:t>王军</w:t>
            </w:r>
          </w:p>
        </w:tc>
        <w:tc>
          <w:tcPr>
            <w:tcW w:w="1248" w:type="dxa"/>
            <w:tcBorders>
              <w:top w:val="single" w:color="auto" w:sz="4" w:space="0"/>
            </w:tcBorders>
            <w:vAlign w:val="center"/>
          </w:tcPr>
          <w:p w14:paraId="1C7AD5B6">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2F655A12">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5E3D2BCB">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6BC600FB">
            <w:pPr>
              <w:pStyle w:val="2"/>
              <w:spacing w:line="390" w:lineRule="exact"/>
              <w:jc w:val="center"/>
              <w:rPr>
                <w:rFonts w:hint="eastAsia" w:ascii="Times New Roman" w:hAnsi="Times New Roman"/>
                <w:sz w:val="22"/>
                <w:szCs w:val="22"/>
              </w:rPr>
            </w:pPr>
            <w:r>
              <w:rPr>
                <w:rFonts w:hint="eastAsia" w:ascii="Times New Roman" w:hAnsi="Times New Roman"/>
                <w:sz w:val="22"/>
                <w:szCs w:val="22"/>
              </w:rPr>
              <w:t>10</w:t>
            </w:r>
          </w:p>
        </w:tc>
      </w:tr>
      <w:tr w14:paraId="5D210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4A208949">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5D3F7F3F">
            <w:pPr>
              <w:pStyle w:val="2"/>
              <w:spacing w:line="390" w:lineRule="exact"/>
              <w:jc w:val="center"/>
              <w:rPr>
                <w:rFonts w:ascii="Times New Roman" w:hAnsi="Times New Roman"/>
                <w:sz w:val="22"/>
                <w:szCs w:val="22"/>
              </w:rPr>
            </w:pPr>
            <w:r>
              <w:rPr>
                <w:rFonts w:hint="eastAsia" w:ascii="Times New Roman" w:hAnsi="Times New Roman"/>
                <w:sz w:val="22"/>
                <w:szCs w:val="22"/>
              </w:rPr>
              <w:t>主治医师</w:t>
            </w:r>
          </w:p>
        </w:tc>
        <w:tc>
          <w:tcPr>
            <w:tcW w:w="1248" w:type="dxa"/>
            <w:vAlign w:val="center"/>
          </w:tcPr>
          <w:p w14:paraId="680189E6">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1E14199E">
            <w:pPr>
              <w:pStyle w:val="2"/>
              <w:spacing w:line="390" w:lineRule="exact"/>
              <w:jc w:val="center"/>
              <w:rPr>
                <w:rFonts w:ascii="Times New Roman" w:hAnsi="Times New Roman"/>
                <w:sz w:val="22"/>
                <w:szCs w:val="22"/>
              </w:rPr>
            </w:pPr>
            <w:r>
              <w:rPr>
                <w:rFonts w:hint="eastAsia" w:ascii="Times New Roman" w:hAnsi="Times New Roman"/>
                <w:sz w:val="22"/>
                <w:szCs w:val="22"/>
              </w:rPr>
              <w:t>无</w:t>
            </w:r>
          </w:p>
        </w:tc>
        <w:tc>
          <w:tcPr>
            <w:tcW w:w="1502" w:type="dxa"/>
            <w:vAlign w:val="center"/>
          </w:tcPr>
          <w:p w14:paraId="04278CCE">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7C517C78">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2736F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57E16718">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7D3CF95A">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重要成员，对创新点三作出主要贡献。以第一作者完成论文8（排名第1）。首创性将胫骨远端前侧半骨骺阻滞术应用于僵硬性马蹄内翻足矢状面跖屈畸形的矫正（ADTA由87.43°±3.15°改善至72.43°±5.56°，均实现跖行足）。</w:t>
            </w:r>
          </w:p>
        </w:tc>
      </w:tr>
    </w:tbl>
    <w:p w14:paraId="7364D133">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5A2B5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4378EE84">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116314B9">
            <w:pPr>
              <w:pStyle w:val="2"/>
              <w:spacing w:line="390" w:lineRule="exact"/>
              <w:jc w:val="center"/>
              <w:rPr>
                <w:rFonts w:ascii="Times New Roman" w:hAnsi="Times New Roman"/>
                <w:sz w:val="22"/>
                <w:szCs w:val="22"/>
              </w:rPr>
            </w:pPr>
            <w:r>
              <w:rPr>
                <w:rFonts w:hint="eastAsia" w:ascii="Times New Roman" w:hAnsi="Times New Roman"/>
                <w:sz w:val="22"/>
                <w:szCs w:val="22"/>
              </w:rPr>
              <w:t>肖保辉</w:t>
            </w:r>
          </w:p>
        </w:tc>
        <w:tc>
          <w:tcPr>
            <w:tcW w:w="1248" w:type="dxa"/>
            <w:tcBorders>
              <w:top w:val="single" w:color="auto" w:sz="4" w:space="0"/>
            </w:tcBorders>
            <w:vAlign w:val="center"/>
          </w:tcPr>
          <w:p w14:paraId="211EBDB9">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336124BF">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30CB7241">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07EAEA4E">
            <w:pPr>
              <w:pStyle w:val="2"/>
              <w:spacing w:line="390" w:lineRule="exact"/>
              <w:jc w:val="center"/>
              <w:rPr>
                <w:rFonts w:hint="eastAsia" w:ascii="Times New Roman" w:hAnsi="Times New Roman"/>
                <w:sz w:val="22"/>
                <w:szCs w:val="22"/>
              </w:rPr>
            </w:pPr>
            <w:r>
              <w:rPr>
                <w:rFonts w:hint="eastAsia" w:ascii="Times New Roman" w:hAnsi="Times New Roman"/>
                <w:sz w:val="22"/>
                <w:szCs w:val="22"/>
              </w:rPr>
              <w:t>11</w:t>
            </w:r>
          </w:p>
        </w:tc>
      </w:tr>
      <w:tr w14:paraId="45899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4BF984BD">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3E661436">
            <w:pPr>
              <w:pStyle w:val="2"/>
              <w:spacing w:line="390" w:lineRule="exact"/>
              <w:jc w:val="center"/>
              <w:rPr>
                <w:rFonts w:ascii="Times New Roman" w:hAnsi="Times New Roman"/>
                <w:sz w:val="22"/>
                <w:szCs w:val="22"/>
              </w:rPr>
            </w:pPr>
            <w:r>
              <w:rPr>
                <w:rFonts w:hint="eastAsia" w:ascii="Times New Roman" w:hAnsi="Times New Roman"/>
                <w:sz w:val="22"/>
                <w:szCs w:val="22"/>
              </w:rPr>
              <w:t>主治医师</w:t>
            </w:r>
          </w:p>
        </w:tc>
        <w:tc>
          <w:tcPr>
            <w:tcW w:w="1248" w:type="dxa"/>
            <w:vAlign w:val="center"/>
          </w:tcPr>
          <w:p w14:paraId="6D223561">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5466BB4E">
            <w:pPr>
              <w:pStyle w:val="2"/>
              <w:spacing w:line="390" w:lineRule="exact"/>
              <w:jc w:val="center"/>
              <w:rPr>
                <w:rFonts w:ascii="Times New Roman" w:hAnsi="Times New Roman"/>
                <w:sz w:val="22"/>
                <w:szCs w:val="22"/>
              </w:rPr>
            </w:pPr>
            <w:r>
              <w:rPr>
                <w:rFonts w:hint="eastAsia" w:ascii="Times New Roman" w:hAnsi="Times New Roman"/>
                <w:sz w:val="22"/>
                <w:szCs w:val="22"/>
              </w:rPr>
              <w:t>无</w:t>
            </w:r>
          </w:p>
        </w:tc>
        <w:tc>
          <w:tcPr>
            <w:tcW w:w="1502" w:type="dxa"/>
            <w:vAlign w:val="center"/>
          </w:tcPr>
          <w:p w14:paraId="042C7CED">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39C13E8E">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511440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4AB56B9E">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2CEE67E3">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重要成员，对创新点三作出主要贡献。以第一作者完成论文7（排名第1）。系统评价了新型U形钉治疗NF1儿童胫骨前外侧成角畸形的短期疗效（矫正速率0.77°/月，无一例骨折），实现了从“被动等待骨折”向“主动引导矫形”的治疗策略转变。</w:t>
            </w:r>
          </w:p>
        </w:tc>
      </w:tr>
    </w:tbl>
    <w:p w14:paraId="7778BBA5">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5103B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743AFC42">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15EC67B7">
            <w:pPr>
              <w:pStyle w:val="2"/>
              <w:spacing w:line="390" w:lineRule="exact"/>
              <w:jc w:val="center"/>
              <w:rPr>
                <w:rFonts w:ascii="Times New Roman" w:hAnsi="Times New Roman"/>
                <w:sz w:val="22"/>
                <w:szCs w:val="22"/>
              </w:rPr>
            </w:pPr>
            <w:r>
              <w:rPr>
                <w:rFonts w:hint="eastAsia" w:ascii="Times New Roman" w:hAnsi="Times New Roman"/>
                <w:sz w:val="22"/>
                <w:szCs w:val="22"/>
              </w:rPr>
              <w:t>李安平</w:t>
            </w:r>
          </w:p>
        </w:tc>
        <w:tc>
          <w:tcPr>
            <w:tcW w:w="1248" w:type="dxa"/>
            <w:tcBorders>
              <w:top w:val="single" w:color="auto" w:sz="4" w:space="0"/>
            </w:tcBorders>
            <w:vAlign w:val="center"/>
          </w:tcPr>
          <w:p w14:paraId="29539526">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068D9917">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0136C95F">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2DD7F5F7">
            <w:pPr>
              <w:pStyle w:val="2"/>
              <w:spacing w:line="390" w:lineRule="exact"/>
              <w:jc w:val="center"/>
              <w:rPr>
                <w:rFonts w:hint="eastAsia" w:ascii="Times New Roman" w:hAnsi="Times New Roman"/>
                <w:sz w:val="22"/>
                <w:szCs w:val="22"/>
              </w:rPr>
            </w:pPr>
            <w:r>
              <w:rPr>
                <w:rFonts w:hint="eastAsia" w:ascii="Times New Roman" w:hAnsi="Times New Roman"/>
                <w:sz w:val="22"/>
                <w:szCs w:val="22"/>
              </w:rPr>
              <w:t>12</w:t>
            </w:r>
          </w:p>
        </w:tc>
      </w:tr>
      <w:tr w14:paraId="2DFC1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17991C9A">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67EAFB49">
            <w:pPr>
              <w:pStyle w:val="2"/>
              <w:spacing w:line="390" w:lineRule="exact"/>
              <w:jc w:val="center"/>
              <w:rPr>
                <w:rFonts w:ascii="Times New Roman" w:hAnsi="Times New Roman"/>
                <w:sz w:val="22"/>
                <w:szCs w:val="22"/>
              </w:rPr>
            </w:pPr>
            <w:r>
              <w:rPr>
                <w:rFonts w:hint="eastAsia" w:ascii="Times New Roman" w:hAnsi="Times New Roman"/>
                <w:sz w:val="22"/>
                <w:szCs w:val="22"/>
              </w:rPr>
              <w:t>主治医师</w:t>
            </w:r>
          </w:p>
        </w:tc>
        <w:tc>
          <w:tcPr>
            <w:tcW w:w="1248" w:type="dxa"/>
            <w:vAlign w:val="center"/>
          </w:tcPr>
          <w:p w14:paraId="3CB71A54">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5779D730">
            <w:pPr>
              <w:pStyle w:val="2"/>
              <w:spacing w:line="390" w:lineRule="exact"/>
              <w:jc w:val="center"/>
              <w:rPr>
                <w:rFonts w:ascii="Times New Roman" w:hAnsi="Times New Roman"/>
                <w:sz w:val="22"/>
                <w:szCs w:val="22"/>
              </w:rPr>
            </w:pPr>
            <w:r>
              <w:rPr>
                <w:rFonts w:hint="eastAsia" w:ascii="Times New Roman" w:hAnsi="Times New Roman"/>
                <w:sz w:val="22"/>
                <w:szCs w:val="22"/>
              </w:rPr>
              <w:t>无</w:t>
            </w:r>
          </w:p>
        </w:tc>
        <w:tc>
          <w:tcPr>
            <w:tcW w:w="1502" w:type="dxa"/>
            <w:vAlign w:val="center"/>
          </w:tcPr>
          <w:p w14:paraId="784141FF">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7A8DD39C">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271DA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3A2B5E16">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2CC54610">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早期成员，对创新点一作出重要贡献。以第一作者完成论文10（排名第1），参与论文2（排名第2）、3（排名第2）。比较了经骺板内踝螺钉与U形钉的疗效差异，初步验证U形钉的临床优势，为器械优化奠定基础。</w:t>
            </w:r>
          </w:p>
        </w:tc>
      </w:tr>
    </w:tbl>
    <w:p w14:paraId="02996C18">
      <w:pPr>
        <w:ind w:firstLine="480" w:firstLineChars="200"/>
        <w:rPr>
          <w:rFonts w:ascii="Times New Roman" w:hAnsi="Times New Roman"/>
          <w:color w:val="0D0D0D"/>
          <w:sz w:val="24"/>
        </w:rPr>
      </w:pPr>
    </w:p>
    <w:tbl>
      <w:tblPr>
        <w:tblStyle w:val="6"/>
        <w:tblW w:w="90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013"/>
        <w:gridCol w:w="1248"/>
        <w:gridCol w:w="1616"/>
        <w:gridCol w:w="1502"/>
        <w:gridCol w:w="1438"/>
      </w:tblGrid>
      <w:tr w14:paraId="3FA40F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1" w:type="dxa"/>
            <w:tcBorders>
              <w:top w:val="single" w:color="auto" w:sz="4" w:space="0"/>
              <w:left w:val="single" w:color="auto" w:sz="4" w:space="0"/>
            </w:tcBorders>
            <w:vAlign w:val="center"/>
          </w:tcPr>
          <w:p w14:paraId="47CC5B26">
            <w:pPr>
              <w:pStyle w:val="2"/>
              <w:spacing w:line="390" w:lineRule="exact"/>
              <w:jc w:val="center"/>
              <w:rPr>
                <w:rFonts w:ascii="Times New Roman" w:hAnsi="Times New Roman"/>
                <w:sz w:val="22"/>
                <w:szCs w:val="22"/>
              </w:rPr>
            </w:pPr>
            <w:r>
              <w:rPr>
                <w:rFonts w:ascii="Times New Roman" w:hAnsi="Times New Roman"/>
                <w:sz w:val="22"/>
                <w:szCs w:val="22"/>
              </w:rPr>
              <w:t>姓    名</w:t>
            </w:r>
          </w:p>
        </w:tc>
        <w:tc>
          <w:tcPr>
            <w:tcW w:w="2013" w:type="dxa"/>
            <w:tcBorders>
              <w:top w:val="single" w:color="auto" w:sz="4" w:space="0"/>
            </w:tcBorders>
            <w:vAlign w:val="center"/>
          </w:tcPr>
          <w:p w14:paraId="05D18A3D">
            <w:pPr>
              <w:pStyle w:val="2"/>
              <w:spacing w:line="390" w:lineRule="exact"/>
              <w:jc w:val="center"/>
              <w:rPr>
                <w:rFonts w:ascii="Times New Roman" w:hAnsi="Times New Roman"/>
                <w:sz w:val="22"/>
                <w:szCs w:val="22"/>
              </w:rPr>
            </w:pPr>
            <w:r>
              <w:rPr>
                <w:rFonts w:hint="eastAsia" w:ascii="Times New Roman" w:hAnsi="Times New Roman"/>
                <w:sz w:val="22"/>
                <w:szCs w:val="22"/>
              </w:rPr>
              <w:t>刘尧喜</w:t>
            </w:r>
          </w:p>
        </w:tc>
        <w:tc>
          <w:tcPr>
            <w:tcW w:w="1248" w:type="dxa"/>
            <w:tcBorders>
              <w:top w:val="single" w:color="auto" w:sz="4" w:space="0"/>
            </w:tcBorders>
            <w:vAlign w:val="center"/>
          </w:tcPr>
          <w:p w14:paraId="52B0F9EF">
            <w:pPr>
              <w:pStyle w:val="2"/>
              <w:spacing w:line="390" w:lineRule="exact"/>
              <w:jc w:val="center"/>
              <w:rPr>
                <w:rFonts w:ascii="Times New Roman" w:hAnsi="Times New Roman"/>
                <w:sz w:val="22"/>
                <w:szCs w:val="22"/>
              </w:rPr>
            </w:pPr>
            <w:r>
              <w:rPr>
                <w:rFonts w:ascii="Times New Roman" w:hAnsi="Times New Roman"/>
                <w:sz w:val="22"/>
                <w:szCs w:val="22"/>
              </w:rPr>
              <w:t>性    别</w:t>
            </w:r>
          </w:p>
        </w:tc>
        <w:tc>
          <w:tcPr>
            <w:tcW w:w="1616" w:type="dxa"/>
            <w:tcBorders>
              <w:top w:val="single" w:color="auto" w:sz="4" w:space="0"/>
            </w:tcBorders>
            <w:vAlign w:val="center"/>
          </w:tcPr>
          <w:p w14:paraId="6A71335E">
            <w:pPr>
              <w:pStyle w:val="2"/>
              <w:spacing w:line="390" w:lineRule="exact"/>
              <w:jc w:val="center"/>
              <w:rPr>
                <w:rFonts w:ascii="Times New Roman" w:hAnsi="Times New Roman"/>
                <w:sz w:val="22"/>
                <w:szCs w:val="22"/>
              </w:rPr>
            </w:pPr>
            <w:r>
              <w:rPr>
                <w:rFonts w:hint="eastAsia" w:ascii="Times New Roman" w:hAnsi="Times New Roman"/>
                <w:sz w:val="22"/>
                <w:szCs w:val="22"/>
              </w:rPr>
              <w:t>男</w:t>
            </w:r>
          </w:p>
        </w:tc>
        <w:tc>
          <w:tcPr>
            <w:tcW w:w="1502" w:type="dxa"/>
            <w:tcBorders>
              <w:top w:val="single" w:color="auto" w:sz="4" w:space="0"/>
            </w:tcBorders>
            <w:vAlign w:val="center"/>
          </w:tcPr>
          <w:p w14:paraId="13CC8C6C">
            <w:pPr>
              <w:pStyle w:val="2"/>
              <w:spacing w:line="390" w:lineRule="exact"/>
              <w:jc w:val="center"/>
              <w:rPr>
                <w:rFonts w:ascii="Times New Roman" w:hAnsi="Times New Roman"/>
                <w:sz w:val="22"/>
                <w:szCs w:val="22"/>
              </w:rPr>
            </w:pPr>
            <w:r>
              <w:rPr>
                <w:rFonts w:ascii="Times New Roman" w:hAnsi="Times New Roman"/>
                <w:sz w:val="22"/>
                <w:szCs w:val="22"/>
              </w:rPr>
              <w:t>排    名</w:t>
            </w:r>
          </w:p>
        </w:tc>
        <w:tc>
          <w:tcPr>
            <w:tcW w:w="1438" w:type="dxa"/>
            <w:tcBorders>
              <w:top w:val="single" w:color="auto" w:sz="4" w:space="0"/>
              <w:right w:val="single" w:color="auto" w:sz="4" w:space="0"/>
            </w:tcBorders>
            <w:vAlign w:val="center"/>
          </w:tcPr>
          <w:p w14:paraId="2933B499">
            <w:pPr>
              <w:pStyle w:val="2"/>
              <w:spacing w:line="390" w:lineRule="exact"/>
              <w:jc w:val="center"/>
              <w:rPr>
                <w:rFonts w:hint="eastAsia" w:ascii="Times New Roman" w:hAnsi="Times New Roman"/>
                <w:sz w:val="22"/>
                <w:szCs w:val="22"/>
              </w:rPr>
            </w:pPr>
            <w:r>
              <w:rPr>
                <w:rFonts w:hint="eastAsia" w:ascii="Times New Roman" w:hAnsi="Times New Roman"/>
                <w:sz w:val="22"/>
                <w:szCs w:val="22"/>
              </w:rPr>
              <w:t>13</w:t>
            </w:r>
          </w:p>
        </w:tc>
      </w:tr>
      <w:tr w14:paraId="7EC816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1" w:type="dxa"/>
            <w:tcBorders>
              <w:left w:val="single" w:color="auto" w:sz="4" w:space="0"/>
            </w:tcBorders>
            <w:vAlign w:val="center"/>
          </w:tcPr>
          <w:p w14:paraId="13E9D089">
            <w:pPr>
              <w:pStyle w:val="2"/>
              <w:spacing w:line="390" w:lineRule="exact"/>
              <w:jc w:val="center"/>
              <w:rPr>
                <w:rFonts w:ascii="Times New Roman" w:hAnsi="Times New Roman"/>
                <w:sz w:val="22"/>
                <w:szCs w:val="22"/>
              </w:rPr>
            </w:pPr>
            <w:r>
              <w:rPr>
                <w:rFonts w:ascii="Times New Roman" w:hAnsi="Times New Roman"/>
                <w:sz w:val="22"/>
                <w:szCs w:val="22"/>
              </w:rPr>
              <w:t>技术职称</w:t>
            </w:r>
          </w:p>
        </w:tc>
        <w:tc>
          <w:tcPr>
            <w:tcW w:w="2013" w:type="dxa"/>
            <w:vAlign w:val="center"/>
          </w:tcPr>
          <w:p w14:paraId="0BF1D9C9">
            <w:pPr>
              <w:pStyle w:val="2"/>
              <w:spacing w:line="390" w:lineRule="exact"/>
              <w:jc w:val="center"/>
              <w:rPr>
                <w:rFonts w:ascii="Times New Roman" w:hAnsi="Times New Roman"/>
                <w:sz w:val="22"/>
                <w:szCs w:val="22"/>
              </w:rPr>
            </w:pPr>
            <w:r>
              <w:rPr>
                <w:rFonts w:hint="eastAsia" w:ascii="Times New Roman" w:hAnsi="Times New Roman"/>
                <w:sz w:val="22"/>
                <w:szCs w:val="22"/>
              </w:rPr>
              <w:t>主治医师</w:t>
            </w:r>
          </w:p>
        </w:tc>
        <w:tc>
          <w:tcPr>
            <w:tcW w:w="1248" w:type="dxa"/>
            <w:vAlign w:val="center"/>
          </w:tcPr>
          <w:p w14:paraId="583CA878">
            <w:pPr>
              <w:pStyle w:val="2"/>
              <w:spacing w:line="390" w:lineRule="exact"/>
              <w:jc w:val="center"/>
              <w:rPr>
                <w:rFonts w:ascii="Times New Roman" w:hAnsi="Times New Roman"/>
                <w:sz w:val="22"/>
                <w:szCs w:val="22"/>
              </w:rPr>
            </w:pPr>
            <w:r>
              <w:rPr>
                <w:rFonts w:ascii="Times New Roman" w:hAnsi="Times New Roman"/>
                <w:sz w:val="22"/>
                <w:szCs w:val="22"/>
              </w:rPr>
              <w:t>行政职务</w:t>
            </w:r>
          </w:p>
        </w:tc>
        <w:tc>
          <w:tcPr>
            <w:tcW w:w="1616" w:type="dxa"/>
            <w:vAlign w:val="center"/>
          </w:tcPr>
          <w:p w14:paraId="2A17E321">
            <w:pPr>
              <w:pStyle w:val="2"/>
              <w:spacing w:line="390" w:lineRule="exact"/>
              <w:jc w:val="center"/>
              <w:rPr>
                <w:rFonts w:ascii="Times New Roman" w:hAnsi="Times New Roman"/>
                <w:sz w:val="22"/>
                <w:szCs w:val="22"/>
              </w:rPr>
            </w:pPr>
            <w:r>
              <w:rPr>
                <w:rFonts w:hint="eastAsia" w:ascii="Times New Roman" w:hAnsi="Times New Roman"/>
                <w:sz w:val="22"/>
                <w:szCs w:val="22"/>
              </w:rPr>
              <w:t>无</w:t>
            </w:r>
          </w:p>
        </w:tc>
        <w:tc>
          <w:tcPr>
            <w:tcW w:w="1502" w:type="dxa"/>
            <w:vAlign w:val="center"/>
          </w:tcPr>
          <w:p w14:paraId="7171332A">
            <w:pPr>
              <w:pStyle w:val="2"/>
              <w:spacing w:line="390" w:lineRule="exact"/>
              <w:jc w:val="center"/>
              <w:rPr>
                <w:rFonts w:ascii="Times New Roman" w:hAnsi="Times New Roman"/>
                <w:sz w:val="22"/>
                <w:szCs w:val="22"/>
              </w:rPr>
            </w:pPr>
            <w:r>
              <w:rPr>
                <w:rFonts w:hint="eastAsia" w:ascii="Times New Roman" w:hAnsi="Times New Roman"/>
                <w:sz w:val="22"/>
                <w:szCs w:val="22"/>
              </w:rPr>
              <w:t>完成单位</w:t>
            </w:r>
          </w:p>
        </w:tc>
        <w:tc>
          <w:tcPr>
            <w:tcW w:w="1438" w:type="dxa"/>
            <w:tcBorders>
              <w:right w:val="single" w:color="auto" w:sz="4" w:space="0"/>
            </w:tcBorders>
            <w:vAlign w:val="center"/>
          </w:tcPr>
          <w:p w14:paraId="1EC4CBB8">
            <w:pPr>
              <w:pStyle w:val="2"/>
              <w:spacing w:line="390" w:lineRule="exact"/>
              <w:jc w:val="center"/>
              <w:rPr>
                <w:rFonts w:ascii="Times New Roman" w:hAnsi="Times New Roman"/>
                <w:sz w:val="22"/>
                <w:szCs w:val="22"/>
              </w:rPr>
            </w:pPr>
            <w:r>
              <w:rPr>
                <w:rFonts w:hint="eastAsia" w:ascii="Times New Roman" w:hAnsi="Times New Roman"/>
                <w:sz w:val="22"/>
                <w:szCs w:val="22"/>
              </w:rPr>
              <w:t>湖南省儿童医院</w:t>
            </w:r>
          </w:p>
        </w:tc>
      </w:tr>
      <w:tr w14:paraId="383234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9058" w:type="dxa"/>
            <w:gridSpan w:val="6"/>
            <w:tcBorders>
              <w:left w:val="single" w:color="auto" w:sz="4" w:space="0"/>
              <w:right w:val="single" w:color="auto" w:sz="4" w:space="0"/>
            </w:tcBorders>
          </w:tcPr>
          <w:p w14:paraId="5D0A8F3B">
            <w:pPr>
              <w:pStyle w:val="2"/>
              <w:spacing w:line="390" w:lineRule="exact"/>
              <w:rPr>
                <w:rFonts w:ascii="Times New Roman" w:hAnsi="Times New Roman"/>
                <w:sz w:val="22"/>
                <w:szCs w:val="22"/>
              </w:rPr>
            </w:pPr>
            <w:r>
              <w:rPr>
                <w:rFonts w:ascii="Times New Roman" w:hAnsi="Times New Roman"/>
                <w:sz w:val="22"/>
                <w:szCs w:val="22"/>
              </w:rPr>
              <w:t xml:space="preserve">对本项目主要贡献： </w:t>
            </w:r>
          </w:p>
          <w:p w14:paraId="7925BF8B">
            <w:pPr>
              <w:pStyle w:val="2"/>
              <w:spacing w:line="390" w:lineRule="exact"/>
              <w:rPr>
                <w:rFonts w:hint="eastAsia" w:ascii="Times New Roman" w:hAnsi="Times New Roman"/>
                <w:sz w:val="22"/>
                <w:szCs w:val="22"/>
              </w:rPr>
            </w:pPr>
            <w:r>
              <w:rPr>
                <w:rFonts w:ascii="Times New Roman" w:hAnsi="Times New Roman"/>
                <w:sz w:val="22"/>
                <w:szCs w:val="22"/>
              </w:rPr>
              <w:t xml:space="preserve">   </w:t>
            </w:r>
            <w:r>
              <w:rPr>
                <w:rFonts w:hint="eastAsia" w:ascii="Times New Roman" w:hAnsi="Times New Roman"/>
                <w:sz w:val="22"/>
                <w:szCs w:val="22"/>
              </w:rPr>
              <w:t>项目成员，对创新点三作出辅助贡献。参与论文7（排名第9）、8（排名第11）。负责影像学资料调阅、畸形角度测量和文献检索工作。</w:t>
            </w:r>
          </w:p>
        </w:tc>
      </w:tr>
    </w:tbl>
    <w:p w14:paraId="3E573964">
      <w:pPr>
        <w:ind w:firstLine="480" w:firstLineChars="200"/>
        <w:rPr>
          <w:rFonts w:ascii="Times New Roman" w:hAnsi="Times New Roman"/>
          <w:color w:val="0D0D0D"/>
          <w:sz w:val="24"/>
        </w:rPr>
      </w:pPr>
    </w:p>
    <w:p w14:paraId="560992B3">
      <w:pPr>
        <w:ind w:firstLine="480" w:firstLineChars="200"/>
        <w:rPr>
          <w:rFonts w:ascii="Times New Roman" w:hAnsi="Times New Roman"/>
          <w:color w:val="0D0D0D"/>
          <w:sz w:val="24"/>
        </w:rPr>
      </w:pPr>
    </w:p>
    <w:p w14:paraId="217D437E">
      <w:pPr>
        <w:ind w:firstLine="482" w:firstLineChars="200"/>
        <w:rPr>
          <w:rFonts w:ascii="Times New Roman" w:hAnsi="Times New Roman"/>
          <w:b/>
          <w:bCs/>
          <w:color w:val="0D0D0D"/>
          <w:sz w:val="24"/>
        </w:rPr>
      </w:pPr>
      <w:r>
        <w:rPr>
          <w:rFonts w:ascii="Times New Roman" w:hAnsi="Times New Roman"/>
          <w:b/>
          <w:bCs/>
          <w:color w:val="0D0D0D"/>
          <w:sz w:val="24"/>
        </w:rPr>
        <w:t>11.完成单位情况，包括单位名称、排名，对本项目的献贡</w:t>
      </w:r>
    </w:p>
    <w:tbl>
      <w:tblPr>
        <w:tblStyle w:val="6"/>
        <w:tblW w:w="8959" w:type="dxa"/>
        <w:jc w:val="center"/>
        <w:tblLayout w:type="fixed"/>
        <w:tblCellMar>
          <w:top w:w="0" w:type="dxa"/>
          <w:left w:w="85" w:type="dxa"/>
          <w:bottom w:w="0" w:type="dxa"/>
          <w:right w:w="85" w:type="dxa"/>
        </w:tblCellMar>
      </w:tblPr>
      <w:tblGrid>
        <w:gridCol w:w="1220"/>
        <w:gridCol w:w="4738"/>
        <w:gridCol w:w="1184"/>
        <w:gridCol w:w="1817"/>
      </w:tblGrid>
      <w:tr w14:paraId="650C622D">
        <w:tblPrEx>
          <w:tblCellMar>
            <w:top w:w="0" w:type="dxa"/>
            <w:left w:w="85" w:type="dxa"/>
            <w:bottom w:w="0" w:type="dxa"/>
            <w:right w:w="85" w:type="dxa"/>
          </w:tblCellMar>
        </w:tblPrEx>
        <w:trPr>
          <w:trHeight w:val="567" w:hRule="atLeast"/>
          <w:jc w:val="center"/>
        </w:trPr>
        <w:tc>
          <w:tcPr>
            <w:tcW w:w="1220" w:type="dxa"/>
            <w:tcBorders>
              <w:top w:val="single" w:color="000000" w:sz="6" w:space="0"/>
              <w:left w:val="single" w:color="000000" w:sz="6" w:space="0"/>
              <w:bottom w:val="single" w:color="000000" w:sz="4" w:space="0"/>
              <w:right w:val="single" w:color="000000" w:sz="4" w:space="0"/>
            </w:tcBorders>
            <w:vAlign w:val="center"/>
          </w:tcPr>
          <w:p w14:paraId="7A8FEBB9">
            <w:pPr>
              <w:jc w:val="center"/>
              <w:rPr>
                <w:rFonts w:ascii="Times New Roman" w:hAnsi="Times New Roman"/>
                <w:sz w:val="22"/>
                <w:szCs w:val="22"/>
              </w:rPr>
            </w:pPr>
            <w:r>
              <w:rPr>
                <w:rFonts w:ascii="Times New Roman" w:hAnsi="Times New Roman"/>
                <w:sz w:val="22"/>
                <w:szCs w:val="22"/>
              </w:rPr>
              <w:t>单位名称</w:t>
            </w:r>
          </w:p>
        </w:tc>
        <w:tc>
          <w:tcPr>
            <w:tcW w:w="4738" w:type="dxa"/>
            <w:tcBorders>
              <w:top w:val="single" w:color="000000" w:sz="6" w:space="0"/>
              <w:left w:val="single" w:color="000000" w:sz="4" w:space="0"/>
              <w:bottom w:val="single" w:color="000000" w:sz="4" w:space="0"/>
              <w:right w:val="single" w:color="000000" w:sz="4" w:space="0"/>
            </w:tcBorders>
            <w:vAlign w:val="center"/>
          </w:tcPr>
          <w:p w14:paraId="7E53224C">
            <w:pPr>
              <w:jc w:val="center"/>
              <w:rPr>
                <w:rFonts w:ascii="Times New Roman" w:hAnsi="Times New Roman"/>
                <w:sz w:val="22"/>
                <w:szCs w:val="22"/>
              </w:rPr>
            </w:pPr>
            <w:r>
              <w:rPr>
                <w:rFonts w:hint="eastAsia" w:ascii="Times New Roman" w:hAnsi="Times New Roman"/>
                <w:sz w:val="22"/>
                <w:szCs w:val="22"/>
              </w:rPr>
              <w:t>湖南省儿童医院</w:t>
            </w:r>
          </w:p>
        </w:tc>
        <w:tc>
          <w:tcPr>
            <w:tcW w:w="1184" w:type="dxa"/>
            <w:tcBorders>
              <w:top w:val="single" w:color="000000" w:sz="6" w:space="0"/>
              <w:left w:val="single" w:color="000000" w:sz="4" w:space="0"/>
              <w:bottom w:val="single" w:color="000000" w:sz="4" w:space="0"/>
              <w:right w:val="single" w:color="000000" w:sz="4" w:space="0"/>
            </w:tcBorders>
            <w:vAlign w:val="center"/>
          </w:tcPr>
          <w:p w14:paraId="5657B4D2">
            <w:pPr>
              <w:jc w:val="center"/>
              <w:rPr>
                <w:rFonts w:ascii="Times New Roman" w:hAnsi="Times New Roman"/>
                <w:sz w:val="22"/>
                <w:szCs w:val="22"/>
              </w:rPr>
            </w:pPr>
            <w:r>
              <w:rPr>
                <w:rFonts w:ascii="Times New Roman" w:hAnsi="Times New Roman"/>
                <w:sz w:val="22"/>
                <w:szCs w:val="22"/>
              </w:rPr>
              <w:t>排    名</w:t>
            </w:r>
          </w:p>
        </w:tc>
        <w:tc>
          <w:tcPr>
            <w:tcW w:w="1817" w:type="dxa"/>
            <w:tcBorders>
              <w:top w:val="single" w:color="000000" w:sz="6" w:space="0"/>
              <w:left w:val="single" w:color="000000" w:sz="4" w:space="0"/>
              <w:bottom w:val="single" w:color="000000" w:sz="4" w:space="0"/>
              <w:right w:val="single" w:color="000000" w:sz="6" w:space="0"/>
            </w:tcBorders>
            <w:vAlign w:val="center"/>
          </w:tcPr>
          <w:p w14:paraId="7DC0B5D3">
            <w:pPr>
              <w:jc w:val="center"/>
              <w:rPr>
                <w:rFonts w:ascii="Times New Roman" w:hAnsi="Times New Roman"/>
                <w:sz w:val="22"/>
                <w:szCs w:val="22"/>
              </w:rPr>
            </w:pPr>
            <w:r>
              <w:rPr>
                <w:rFonts w:hint="eastAsia" w:ascii="Times New Roman" w:hAnsi="Times New Roman"/>
                <w:sz w:val="22"/>
                <w:szCs w:val="22"/>
              </w:rPr>
              <w:t>1</w:t>
            </w:r>
          </w:p>
        </w:tc>
      </w:tr>
      <w:tr w14:paraId="48D248DB">
        <w:tblPrEx>
          <w:tblCellMar>
            <w:top w:w="0" w:type="dxa"/>
            <w:left w:w="85" w:type="dxa"/>
            <w:bottom w:w="0" w:type="dxa"/>
            <w:right w:w="85" w:type="dxa"/>
          </w:tblCellMar>
        </w:tblPrEx>
        <w:trPr>
          <w:trHeight w:val="2140" w:hRule="exact"/>
          <w:jc w:val="center"/>
        </w:trPr>
        <w:tc>
          <w:tcPr>
            <w:tcW w:w="8959" w:type="dxa"/>
            <w:gridSpan w:val="4"/>
            <w:tcBorders>
              <w:top w:val="single" w:color="000000" w:sz="4" w:space="0"/>
              <w:left w:val="single" w:color="000000" w:sz="6" w:space="0"/>
              <w:bottom w:val="single" w:color="000000" w:sz="4" w:space="0"/>
              <w:right w:val="single" w:color="000000" w:sz="6" w:space="0"/>
            </w:tcBorders>
          </w:tcPr>
          <w:p w14:paraId="17FC8897">
            <w:pPr>
              <w:rPr>
                <w:rFonts w:ascii="Times New Roman" w:hAnsi="Times New Roman"/>
                <w:sz w:val="22"/>
                <w:szCs w:val="22"/>
              </w:rPr>
            </w:pPr>
            <w:r>
              <w:rPr>
                <w:rFonts w:ascii="Times New Roman" w:hAnsi="Times New Roman"/>
                <w:sz w:val="22"/>
                <w:szCs w:val="22"/>
              </w:rPr>
              <w:t>对本项目主要贡献：（限 600 字）</w:t>
            </w:r>
          </w:p>
          <w:p w14:paraId="7B676673">
            <w:pPr>
              <w:ind w:firstLine="330" w:firstLineChars="150"/>
              <w:rPr>
                <w:rFonts w:ascii="Times New Roman" w:hAnsi="Times New Roman"/>
                <w:sz w:val="22"/>
                <w:szCs w:val="22"/>
              </w:rPr>
            </w:pPr>
            <w:r>
              <w:rPr>
                <w:rFonts w:hint="eastAsia" w:ascii="Times New Roman" w:hAnsi="Times New Roman"/>
                <w:sz w:val="22"/>
                <w:szCs w:val="22"/>
              </w:rPr>
              <w:t>1.本单位为项目实施提供了必要的人员配备、基础及实验平台、仪器设备、临床应用平台及匹配经费。 2.以本单位骨科和儿童骨科重点实验室为依托，项目的关键理论和技术创新均在我院完成。 3.项目组主要成员均来自本单位，完成了课题总体设计、组织实施、管理运行，以及总结、推广应用等工作。 4.以我单位为主阵地，开始推广应用本项目研究成果，规范儿童四肢骨折的微创治疗。</w:t>
            </w:r>
          </w:p>
        </w:tc>
      </w:tr>
    </w:tbl>
    <w:p w14:paraId="55ED1906">
      <w:pPr>
        <w:rPr>
          <w:rFonts w:hint="eastAsia"/>
        </w:rPr>
      </w:pPr>
    </w:p>
    <w:p w14:paraId="3F058C9D">
      <w:pPr>
        <w:rPr>
          <w:rFonts w:ascii="Times New Roman" w:hAnsi="Times New Roman" w:eastAsia="宋体" w:cs="Times New Roman"/>
          <w:position w:val="-3"/>
          <w:sz w:val="24"/>
        </w:rPr>
      </w:pPr>
      <w:bookmarkStart w:id="5" w:name="_GoBack"/>
      <w:bookmarkEnd w:id="5"/>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88E75DA3-1974-4421-AB33-6D4D6A3DC17D}"/>
  </w:font>
  <w:font w:name="宋体">
    <w:panose1 w:val="02010600030101010101"/>
    <w:charset w:val="86"/>
    <w:family w:val="auto"/>
    <w:pitch w:val="default"/>
    <w:sig w:usb0="00000003" w:usb1="288F0000" w:usb2="00000006" w:usb3="00000000" w:csb0="00040001" w:csb1="00000000"/>
    <w:embedRegular r:id="rId2" w:fontKey="{1E7779B3-DF5E-455A-B136-9D0F173ADC18}"/>
  </w:font>
  <w:font w:name="Wingdings">
    <w:panose1 w:val="05000000000000000000"/>
    <w:charset w:val="02"/>
    <w:family w:val="auto"/>
    <w:pitch w:val="default"/>
    <w:sig w:usb0="00000000" w:usb1="00000000" w:usb2="00000000" w:usb3="00000000" w:csb0="80000000" w:csb1="00000000"/>
    <w:embedRegular r:id="rId3" w:fontKey="{2FDC5BEB-0D51-4020-9A1F-C30EBCF9F6DA}"/>
  </w:font>
  <w:font w:name="Arial">
    <w:panose1 w:val="020B0604020202020204"/>
    <w:charset w:val="01"/>
    <w:family w:val="swiss"/>
    <w:pitch w:val="default"/>
    <w:sig w:usb0="E0002EFF" w:usb1="C000785B" w:usb2="00000009" w:usb3="00000000" w:csb0="400001FF" w:csb1="FFFF0000"/>
    <w:embedRegular r:id="rId4" w:fontKey="{F209A824-B0E8-42B2-8F35-03AB1CF96561}"/>
  </w:font>
  <w:font w:name="黑体">
    <w:panose1 w:val="02010609060101010101"/>
    <w:charset w:val="86"/>
    <w:family w:val="auto"/>
    <w:pitch w:val="default"/>
    <w:sig w:usb0="800002BF" w:usb1="38CF7CFA" w:usb2="00000016" w:usb3="00000000" w:csb0="00040001" w:csb1="00000000"/>
    <w:embedRegular r:id="rId5" w:fontKey="{FC6B163E-937D-4BF2-96BE-E1D63E9677DF}"/>
  </w:font>
  <w:font w:name="Courier New">
    <w:panose1 w:val="02070309020205020404"/>
    <w:charset w:val="01"/>
    <w:family w:val="modern"/>
    <w:pitch w:val="default"/>
    <w:sig w:usb0="E0002EFF" w:usb1="C0007843" w:usb2="00000009" w:usb3="00000000" w:csb0="400001FF" w:csb1="FFFF0000"/>
    <w:embedRegular r:id="rId6" w:fontKey="{D6FCF188-2087-480E-B3FB-D5395B76CEE4}"/>
  </w:font>
  <w:font w:name="Symbol">
    <w:panose1 w:val="05050102010706020507"/>
    <w:charset w:val="02"/>
    <w:family w:val="roman"/>
    <w:pitch w:val="default"/>
    <w:sig w:usb0="00000000" w:usb1="00000000" w:usb2="00000000" w:usb3="00000000" w:csb0="80000000" w:csb1="00000000"/>
    <w:embedRegular r:id="rId7" w:fontKey="{09A5B7F2-CE1B-4C62-828A-EFBA9957B515}"/>
  </w:font>
  <w:font w:name="Calibri">
    <w:panose1 w:val="020F0502020204030204"/>
    <w:charset w:val="00"/>
    <w:family w:val="swiss"/>
    <w:pitch w:val="default"/>
    <w:sig w:usb0="E4002EFF" w:usb1="C000247B" w:usb2="00000009" w:usb3="00000000" w:csb0="200001FF" w:csb1="00000000"/>
    <w:embedRegular r:id="rId8" w:fontKey="{19138E05-CD7D-4281-9722-D67F9AFC91F7}"/>
  </w:font>
  <w:font w:name="Courier New">
    <w:panose1 w:val="02070309020205020404"/>
    <w:charset w:val="00"/>
    <w:family w:val="modern"/>
    <w:pitch w:val="default"/>
    <w:sig w:usb0="E0002EFF" w:usb1="C0007843" w:usb2="00000009" w:usb3="00000000" w:csb0="400001FF" w:csb1="FFFF0000"/>
    <w:embedRegular r:id="rId9" w:fontKey="{083F162D-7D08-4D63-93CC-2758FCD2C8EE}"/>
  </w:font>
  <w:font w:name="仿宋_GB2312">
    <w:panose1 w:val="02010609030101010101"/>
    <w:charset w:val="86"/>
    <w:family w:val="modern"/>
    <w:pitch w:val="default"/>
    <w:sig w:usb0="00000001" w:usb1="080E0000" w:usb2="00000000" w:usb3="00000000" w:csb0="00040000" w:csb1="00000000"/>
    <w:embedRegular r:id="rId10" w:fontKey="{85DD24D9-AB71-43BC-A6EA-D6DBBC5677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083B2">
    <w:pPr>
      <w:pStyle w:val="3"/>
      <w:jc w:val="right"/>
      <w:rPr>
        <w:rFonts w:hint="eastAsia" w:ascii="宋体" w:hAnsi="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BAC33">
                          <w:pPr>
                            <w:pStyle w:val="3"/>
                            <w:rPr>
                              <w:rFonts w:hint="eastAsia" w:ascii="宋体" w:hAnsi="宋体" w:eastAsia="宋体" w:cs="宋体"/>
                              <w:sz w:val="24"/>
                              <w:szCs w:val="40"/>
                            </w:rPr>
                          </w:pPr>
                          <w:r>
                            <w:rPr>
                              <w:rFonts w:hint="eastAsia" w:ascii="宋体" w:hAnsi="宋体" w:eastAsia="宋体" w:cs="宋体"/>
                              <w:sz w:val="24"/>
                              <w:szCs w:val="40"/>
                            </w:rPr>
                            <w:t xml:space="preserve">— </w:t>
                          </w: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r>
                            <w:rPr>
                              <w:rFonts w:hint="eastAsia" w:ascii="宋体" w:hAnsi="宋体" w:eastAsia="宋体" w:cs="宋体"/>
                              <w:sz w:val="24"/>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12BAC33">
                    <w:pPr>
                      <w:pStyle w:val="3"/>
                      <w:rPr>
                        <w:rFonts w:hint="eastAsia" w:ascii="宋体" w:hAnsi="宋体" w:eastAsia="宋体" w:cs="宋体"/>
                        <w:sz w:val="24"/>
                        <w:szCs w:val="40"/>
                      </w:rPr>
                    </w:pPr>
                    <w:r>
                      <w:rPr>
                        <w:rFonts w:hint="eastAsia" w:ascii="宋体" w:hAnsi="宋体" w:eastAsia="宋体" w:cs="宋体"/>
                        <w:sz w:val="24"/>
                        <w:szCs w:val="40"/>
                      </w:rPr>
                      <w:t xml:space="preserve">— </w:t>
                    </w: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r>
                      <w:rPr>
                        <w:rFonts w:hint="eastAsia" w:ascii="宋体" w:hAnsi="宋体" w:eastAsia="宋体" w:cs="宋体"/>
                        <w:sz w:val="24"/>
                        <w:szCs w:val="40"/>
                      </w:rPr>
                      <w:t xml:space="preserve"> —</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8D640">
                          <w:pPr>
                            <w:pStyle w:val="3"/>
                            <w:jc w:val="right"/>
                          </w:pPr>
                        </w:p>
                        <w:p w14:paraId="361B393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028D640">
                    <w:pPr>
                      <w:pStyle w:val="3"/>
                      <w:jc w:val="right"/>
                    </w:pPr>
                  </w:p>
                  <w:p w14:paraId="361B3937"/>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DD7AE">
    <w:pPr>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A8576C"/>
    <w:multiLevelType w:val="multilevel"/>
    <w:tmpl w:val="46A8576C"/>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4796C17"/>
    <w:multiLevelType w:val="multilevel"/>
    <w:tmpl w:val="54796C17"/>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6D5E0E57"/>
    <w:multiLevelType w:val="multilevel"/>
    <w:tmpl w:val="6D5E0E5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726608FF"/>
    <w:multiLevelType w:val="multilevel"/>
    <w:tmpl w:val="726608FF"/>
    <w:lvl w:ilvl="0" w:tentative="0">
      <w:start w:val="1"/>
      <w:numFmt w:val="decimal"/>
      <w:lvlText w:val="（%1）"/>
      <w:lvlJc w:val="left"/>
      <w:pPr>
        <w:ind w:left="800" w:hanging="440"/>
      </w:pPr>
      <w:rPr>
        <w:rFonts w:hint="eastAsia"/>
      </w:rPr>
    </w:lvl>
    <w:lvl w:ilvl="1" w:tentative="0">
      <w:start w:val="1"/>
      <w:numFmt w:val="lowerLetter"/>
      <w:lvlText w:val="%2)"/>
      <w:lvlJc w:val="left"/>
      <w:pPr>
        <w:ind w:left="1240" w:hanging="440"/>
      </w:pPr>
    </w:lvl>
    <w:lvl w:ilvl="2" w:tentative="0">
      <w:start w:val="1"/>
      <w:numFmt w:val="lowerRoman"/>
      <w:lvlText w:val="%3."/>
      <w:lvlJc w:val="right"/>
      <w:pPr>
        <w:ind w:left="1680" w:hanging="440"/>
      </w:pPr>
    </w:lvl>
    <w:lvl w:ilvl="3" w:tentative="0">
      <w:start w:val="1"/>
      <w:numFmt w:val="decimal"/>
      <w:lvlText w:val="%4."/>
      <w:lvlJc w:val="left"/>
      <w:pPr>
        <w:ind w:left="2120" w:hanging="440"/>
      </w:pPr>
    </w:lvl>
    <w:lvl w:ilvl="4" w:tentative="0">
      <w:start w:val="1"/>
      <w:numFmt w:val="lowerLetter"/>
      <w:lvlText w:val="%5)"/>
      <w:lvlJc w:val="left"/>
      <w:pPr>
        <w:ind w:left="2560" w:hanging="440"/>
      </w:pPr>
    </w:lvl>
    <w:lvl w:ilvl="5" w:tentative="0">
      <w:start w:val="1"/>
      <w:numFmt w:val="lowerRoman"/>
      <w:lvlText w:val="%6."/>
      <w:lvlJc w:val="right"/>
      <w:pPr>
        <w:ind w:left="3000" w:hanging="440"/>
      </w:pPr>
    </w:lvl>
    <w:lvl w:ilvl="6" w:tentative="0">
      <w:start w:val="1"/>
      <w:numFmt w:val="decimal"/>
      <w:lvlText w:val="%7."/>
      <w:lvlJc w:val="left"/>
      <w:pPr>
        <w:ind w:left="3440" w:hanging="440"/>
      </w:pPr>
    </w:lvl>
    <w:lvl w:ilvl="7" w:tentative="0">
      <w:start w:val="1"/>
      <w:numFmt w:val="lowerLetter"/>
      <w:lvlText w:val="%8)"/>
      <w:lvlJc w:val="left"/>
      <w:pPr>
        <w:ind w:left="3880" w:hanging="440"/>
      </w:pPr>
    </w:lvl>
    <w:lvl w:ilvl="8" w:tentative="0">
      <w:start w:val="1"/>
      <w:numFmt w:val="lowerRoman"/>
      <w:lvlText w:val="%9."/>
      <w:lvlJc w:val="right"/>
      <w:pPr>
        <w:ind w:left="4320" w:hanging="440"/>
      </w:pPr>
    </w:lvl>
  </w:abstractNum>
  <w:abstractNum w:abstractNumId="4">
    <w:nsid w:val="79231477"/>
    <w:multiLevelType w:val="multilevel"/>
    <w:tmpl w:val="7923147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6D4AA8"/>
    <w:rsid w:val="00001208"/>
    <w:rsid w:val="00016956"/>
    <w:rsid w:val="00027F53"/>
    <w:rsid w:val="00072E17"/>
    <w:rsid w:val="000739B1"/>
    <w:rsid w:val="00074529"/>
    <w:rsid w:val="000A475E"/>
    <w:rsid w:val="000A6A24"/>
    <w:rsid w:val="000D25EA"/>
    <w:rsid w:val="000E44E4"/>
    <w:rsid w:val="00100644"/>
    <w:rsid w:val="001051FE"/>
    <w:rsid w:val="00122A91"/>
    <w:rsid w:val="00126D5D"/>
    <w:rsid w:val="00181DA5"/>
    <w:rsid w:val="0019168D"/>
    <w:rsid w:val="001B0B25"/>
    <w:rsid w:val="001B0B70"/>
    <w:rsid w:val="001B5205"/>
    <w:rsid w:val="001F5FB0"/>
    <w:rsid w:val="00220166"/>
    <w:rsid w:val="002404C7"/>
    <w:rsid w:val="00261B98"/>
    <w:rsid w:val="002932EA"/>
    <w:rsid w:val="002E2C33"/>
    <w:rsid w:val="003B299F"/>
    <w:rsid w:val="003B405C"/>
    <w:rsid w:val="003B440C"/>
    <w:rsid w:val="003D6D67"/>
    <w:rsid w:val="003F0DE2"/>
    <w:rsid w:val="003F2B1C"/>
    <w:rsid w:val="00401081"/>
    <w:rsid w:val="004652DB"/>
    <w:rsid w:val="004A0E26"/>
    <w:rsid w:val="004A3686"/>
    <w:rsid w:val="004C0550"/>
    <w:rsid w:val="004C1485"/>
    <w:rsid w:val="004C6F8B"/>
    <w:rsid w:val="005236FB"/>
    <w:rsid w:val="00571782"/>
    <w:rsid w:val="00574736"/>
    <w:rsid w:val="0058343A"/>
    <w:rsid w:val="00584306"/>
    <w:rsid w:val="00586B3A"/>
    <w:rsid w:val="00591C2B"/>
    <w:rsid w:val="005A6496"/>
    <w:rsid w:val="005E0794"/>
    <w:rsid w:val="005F29B8"/>
    <w:rsid w:val="005F7831"/>
    <w:rsid w:val="006366D3"/>
    <w:rsid w:val="0064662D"/>
    <w:rsid w:val="006633A8"/>
    <w:rsid w:val="006E0083"/>
    <w:rsid w:val="00703E1A"/>
    <w:rsid w:val="007B170F"/>
    <w:rsid w:val="007E741B"/>
    <w:rsid w:val="007F7F49"/>
    <w:rsid w:val="00811C6A"/>
    <w:rsid w:val="00844741"/>
    <w:rsid w:val="00853247"/>
    <w:rsid w:val="008578F1"/>
    <w:rsid w:val="008601E3"/>
    <w:rsid w:val="00862775"/>
    <w:rsid w:val="008B28A8"/>
    <w:rsid w:val="008D0C7B"/>
    <w:rsid w:val="008F4E81"/>
    <w:rsid w:val="009574A2"/>
    <w:rsid w:val="009A6F6C"/>
    <w:rsid w:val="009B3C80"/>
    <w:rsid w:val="009E1FAF"/>
    <w:rsid w:val="009E4FE3"/>
    <w:rsid w:val="009F6B04"/>
    <w:rsid w:val="00A42455"/>
    <w:rsid w:val="00A7412B"/>
    <w:rsid w:val="00AA15E7"/>
    <w:rsid w:val="00AC0D3E"/>
    <w:rsid w:val="00AC742E"/>
    <w:rsid w:val="00AD3906"/>
    <w:rsid w:val="00B1090C"/>
    <w:rsid w:val="00B4374A"/>
    <w:rsid w:val="00B57925"/>
    <w:rsid w:val="00B706CE"/>
    <w:rsid w:val="00B85CB8"/>
    <w:rsid w:val="00B96FC9"/>
    <w:rsid w:val="00BB560D"/>
    <w:rsid w:val="00BD51C4"/>
    <w:rsid w:val="00BF76FC"/>
    <w:rsid w:val="00C00017"/>
    <w:rsid w:val="00C16B34"/>
    <w:rsid w:val="00C32573"/>
    <w:rsid w:val="00C41875"/>
    <w:rsid w:val="00C51AC6"/>
    <w:rsid w:val="00C5274D"/>
    <w:rsid w:val="00C92874"/>
    <w:rsid w:val="00CA4785"/>
    <w:rsid w:val="00D10320"/>
    <w:rsid w:val="00D17C3F"/>
    <w:rsid w:val="00D32DC4"/>
    <w:rsid w:val="00D34C6A"/>
    <w:rsid w:val="00DA33C5"/>
    <w:rsid w:val="00DA5302"/>
    <w:rsid w:val="00DA7DA8"/>
    <w:rsid w:val="00DB6032"/>
    <w:rsid w:val="00DB7112"/>
    <w:rsid w:val="00DE072D"/>
    <w:rsid w:val="00E25D70"/>
    <w:rsid w:val="00E71353"/>
    <w:rsid w:val="00F1039F"/>
    <w:rsid w:val="00F124FD"/>
    <w:rsid w:val="00F26BD2"/>
    <w:rsid w:val="00F379EE"/>
    <w:rsid w:val="00F418A9"/>
    <w:rsid w:val="00F41D13"/>
    <w:rsid w:val="00F5054E"/>
    <w:rsid w:val="00F555BE"/>
    <w:rsid w:val="00F66691"/>
    <w:rsid w:val="00F66781"/>
    <w:rsid w:val="00F7703C"/>
    <w:rsid w:val="00FB36EE"/>
    <w:rsid w:val="00FE0304"/>
    <w:rsid w:val="00FF4047"/>
    <w:rsid w:val="3CD55D4C"/>
    <w:rsid w:val="466D4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paragraph" w:styleId="5">
    <w:name w:val="HTML Preformatted"/>
    <w:basedOn w:val="1"/>
    <w:qFormat/>
    <w:uiPriority w:val="0"/>
    <w:rPr>
      <w:rFonts w:ascii="Courier New" w:hAnsi="Courier New"/>
      <w:sz w:val="20"/>
    </w:rPr>
  </w:style>
  <w:style w:type="table" w:styleId="7">
    <w:name w:val="Table Grid"/>
    <w:basedOn w:val="6"/>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unhideWhenUsed/>
    <w:qFormat/>
    <w:uiPriority w:val="99"/>
    <w:pPr>
      <w:ind w:firstLine="420" w:firstLineChars="200"/>
    </w:pPr>
  </w:style>
  <w:style w:type="character" w:customStyle="1" w:styleId="10">
    <w:name w:val="纯文本 字符"/>
    <w:basedOn w:val="8"/>
    <w:link w:val="2"/>
    <w:qFormat/>
    <w:uiPriority w:val="0"/>
    <w:rPr>
      <w:rFonts w:ascii="宋体" w:hAnsi="Courier New"/>
      <w:kern w:val="2"/>
      <w:sz w:val="21"/>
      <w:szCs w:val="24"/>
    </w:rPr>
  </w:style>
  <w:style w:type="character" w:customStyle="1" w:styleId="11">
    <w:name w:val="页眉 字符"/>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382BFC-6DAB-4638-A8E6-A9A1DBCF420B}">
  <ds:schemaRefs/>
</ds:datastoreItem>
</file>

<file path=docProps/app.xml><?xml version="1.0" encoding="utf-8"?>
<Properties xmlns="http://schemas.openxmlformats.org/officeDocument/2006/extended-properties" xmlns:vt="http://schemas.openxmlformats.org/officeDocument/2006/docPropsVTypes">
  <Template>Normal</Template>
  <Pages>19</Pages>
  <Words>1857</Words>
  <Characters>2012</Characters>
  <Lines>48</Lines>
  <Paragraphs>13</Paragraphs>
  <TotalTime>0</TotalTime>
  <ScaleCrop>false</ScaleCrop>
  <LinksUpToDate>false</LinksUpToDate>
  <CharactersWithSpaces>2047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2026-06-10T07:30:00Z</dcterms:created>
  <dc:creator>万ber归总</dc:creator>
  <cp:lastModifiedBy>兰兰兰蓝</cp:lastModifiedBy>
  <dcterms:modified xsi:type="dcterms:W3CDTF">2026-07-01T03:43:08Z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07BD7A0A3B104E7386B6B3595A5A4C69_13</vt:lpwstr>
  </property>
  <property fmtid="{D5CDD505-2E9C-101B-9397-08002B2CF9AE}" pid="4" name="KSOTemplateDocerSaveRecord">
    <vt:lpwstr>eyJoZGlkIjoiNmUyZTkyNDVmZmJlMzg5ZmZjMzI1MjczMDYxMTJjN2UiLCJ1c2VySWQiOiI1ODA1MzU0NDIifQ==</vt:lpwstr>
  </property>
</Properties>
</file>