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F39C8">
      <w:pPr>
        <w:rPr>
          <w:rFonts w:ascii="仿宋_GB2312" w:hAnsi="仿宋_GB2312" w:eastAsia="仿宋_GB2312" w:cs="仿宋_GB2312"/>
          <w:sz w:val="32"/>
          <w:szCs w:val="40"/>
        </w:rPr>
      </w:pPr>
      <w:bookmarkStart w:id="1" w:name="_GoBack"/>
      <w:bookmarkEnd w:id="1"/>
      <w:r>
        <w:rPr>
          <w:rFonts w:hint="eastAsia" w:ascii="仿宋_GB2312" w:hAnsi="仿宋_GB2312" w:eastAsia="仿宋_GB2312" w:cs="仿宋_GB2312"/>
          <w:sz w:val="32"/>
          <w:szCs w:val="40"/>
        </w:rPr>
        <w:t>附件：</w:t>
      </w:r>
    </w:p>
    <w:p w14:paraId="3B1DC1F4">
      <w:pPr>
        <w:spacing w:line="480" w:lineRule="exact"/>
        <w:ind w:firstLine="1441" w:firstLineChars="400"/>
        <w:rPr>
          <w:rFonts w:hint="default" w:ascii="方正公文小标宋" w:hAnsi="方正公文小标宋" w:eastAsia="方正公文小标宋" w:cs="方正公文小标宋"/>
          <w:b/>
          <w:bCs/>
          <w:sz w:val="36"/>
          <w:szCs w:val="36"/>
          <w:lang w:val="en-US" w:eastAsia="zh-CN"/>
        </w:rPr>
      </w:pPr>
      <w:r>
        <w:rPr>
          <w:rFonts w:hint="eastAsia" w:ascii="方正公文小标宋" w:hAnsi="方正公文小标宋" w:eastAsia="方正公文小标宋" w:cs="方正公文小标宋"/>
          <w:b/>
          <w:bCs/>
          <w:sz w:val="36"/>
          <w:szCs w:val="36"/>
        </w:rPr>
        <w:t>第二十二届湖南医学科技奖</w:t>
      </w:r>
      <w:r>
        <w:rPr>
          <w:rFonts w:hint="eastAsia" w:ascii="方正公文小标宋" w:hAnsi="方正公文小标宋" w:eastAsia="方正公文小标宋" w:cs="方正公文小标宋"/>
          <w:b/>
          <w:bCs/>
          <w:sz w:val="36"/>
          <w:szCs w:val="36"/>
          <w:lang w:val="en-US" w:eastAsia="zh-CN"/>
        </w:rPr>
        <w:t>提名公示内容</w:t>
      </w:r>
    </w:p>
    <w:p w14:paraId="4AD59E82">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1.项目名称</w:t>
      </w:r>
      <w:r>
        <w:rPr>
          <w:rFonts w:hint="eastAsia" w:asciiTheme="minorEastAsia" w:hAnsiTheme="minorEastAsia" w:eastAsiaTheme="minorEastAsia" w:cstheme="minorEastAsia"/>
          <w:color w:val="0D0D0D"/>
          <w:sz w:val="24"/>
          <w:szCs w:val="24"/>
        </w:rPr>
        <w:t>：彩超联合剪切波弹性成像技术对儿童肝移植的监测价值研究</w:t>
      </w:r>
    </w:p>
    <w:p w14:paraId="002ED046">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2.推荐单位</w:t>
      </w:r>
      <w:r>
        <w:rPr>
          <w:rFonts w:hint="eastAsia" w:asciiTheme="minorEastAsia" w:hAnsiTheme="minorEastAsia" w:eastAsiaTheme="minorEastAsia" w:cstheme="minorEastAsia"/>
          <w:color w:val="0D0D0D"/>
          <w:sz w:val="24"/>
          <w:szCs w:val="24"/>
        </w:rPr>
        <w:t>：湖南省儿童医院</w:t>
      </w:r>
    </w:p>
    <w:p w14:paraId="0CB3206B">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3.推荐意见：</w:t>
      </w:r>
      <w:r>
        <w:rPr>
          <w:rFonts w:hint="eastAsia" w:asciiTheme="minorEastAsia" w:hAnsiTheme="minorEastAsia" w:eastAsiaTheme="minorEastAsia" w:cstheme="minorEastAsia"/>
          <w:color w:val="0D0D0D"/>
          <w:sz w:val="24"/>
          <w:szCs w:val="24"/>
        </w:rPr>
        <w:t>我单位已认真审阅该项目的全部推荐材料，确认所有资料内容真实有效，各项填报内容均符合湖南省医学科技进步奖的申报要求。</w:t>
      </w:r>
    </w:p>
    <w:p w14:paraId="50C7A7B8">
      <w:pPr>
        <w:spacing w:line="360" w:lineRule="auto"/>
        <w:ind w:firstLine="480"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color w:val="0D0D0D"/>
          <w:sz w:val="24"/>
          <w:szCs w:val="24"/>
        </w:rPr>
        <w:t>该项目聚焦儿童胆道闭锁这一严重危及生命的疑难疾病，围绕改善患儿预后、精准评估肝纤维化程度及优化肝移植决策时机等关键临床问题，开展了一系列深入、系统的应用研究。项目团队创新性地将传统灰阶超声与先进的剪切波弹性成像技术相结合，构建了集“结构评估”与“功能量化”于一体的无创诊断与预后预测新方法。通过建立多参数列线图预测模型，实现了对患儿Kasai术后黄疸清除率及自体肝生存期的有效预判，为临床制定个体化治疗方案、把握最佳肝移植时机提供了客观、精准的科学依据。</w:t>
      </w:r>
    </w:p>
    <w:p w14:paraId="1EF8C840">
      <w:pPr>
        <w:spacing w:line="360" w:lineRule="auto"/>
        <w:ind w:firstLine="480"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color w:val="0D0D0D"/>
          <w:sz w:val="24"/>
          <w:szCs w:val="24"/>
        </w:rPr>
        <w:t>本项目研究成果显著，已在国内外重要学术期刊发表学术论文8篇，其中SCI论文6篇，CSCD2篇，科研基金一项，论著一本，并在多个学科会议上进行项目推广，取得了确切的临床效益和良好的社会反响。该研究紧密结合临床需求，成果转化度高，对推动我国儿童肝胆疾病的无创诊断技术进步具有重要意义。同意推荐其申报“湖南医学科技奖”三等奖。</w:t>
      </w:r>
    </w:p>
    <w:p w14:paraId="4C259B5C">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4.项目简介</w:t>
      </w:r>
      <w:r>
        <w:rPr>
          <w:rFonts w:hint="eastAsia" w:asciiTheme="minorEastAsia" w:hAnsiTheme="minorEastAsia" w:eastAsiaTheme="minorEastAsia" w:cstheme="minorEastAsia"/>
          <w:color w:val="0D0D0D"/>
          <w:sz w:val="24"/>
          <w:szCs w:val="24"/>
        </w:rPr>
        <w:t>：</w:t>
      </w:r>
    </w:p>
    <w:p w14:paraId="12715D6A">
      <w:pPr>
        <w:spacing w:line="360" w:lineRule="auto"/>
        <w:ind w:firstLine="480"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color w:val="0D0D0D"/>
          <w:sz w:val="24"/>
          <w:szCs w:val="24"/>
        </w:rPr>
        <w:t xml:space="preserve">研究内容（目的、方法、结果）：本研究旨在探索彩色多普勒血流成像（CDFI）联合剪切波弹性成像（SWE）技术在儿童肝移植全程监护中的综合 应用价值。在术前阶段，系统评估供体与受体肝脏状况；术中实时监测肝血管与胆管状态；术后则全面评价移植 肝吻合血管及胆管情况，并密切监视排斥反应迹象。通过动态分析患儿在肝移植术前、术中及术后肝脏血流信号 与组织硬度值的演变规律，可有效提示移植肝的存活状态及是否存在排斥反应等关键问题，从而为临床诊疗提供 精准指引与有力依据。方法：本研究拟纳入接受肝移植的儿童病例，采用彩色多普勒血流成像（CDFI）与剪切波 弹性成像（SWE）技术，于术前、术中及术后不同时间点，动态监测肝脏血流参数与组织硬度值，分析其变化规律，并结合临床资料评估其与移植肝存活及排斥反应的相关性，以期为临床诊疗提供影像学依据。结果：本研究结果显示，肝移植患儿术前至术后血流参数与肝组织硬度值呈动态变化：移植肝功能稳定者肝动脉阻力指数及硬 度值趋于正常范围；而出现排斥反应或血管并发症者，则表现为肝动脉阻力指数升高、弹性硬度值增高。CDFI联合SWE技术可为早期判断移植肝预后提供重要参考，有效减少肝活检次数。   </w:t>
      </w:r>
    </w:p>
    <w:p w14:paraId="0EA54FB5">
      <w:pPr>
        <w:spacing w:line="360" w:lineRule="auto"/>
        <w:ind w:firstLine="480"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color w:val="0D0D0D"/>
          <w:sz w:val="24"/>
          <w:szCs w:val="24"/>
        </w:rPr>
        <w:t xml:space="preserve">科学创新点： 1. 技术整合与全程化应用：首次将彩色多普勒血流成像（CDFI）与剪切波弹性成像（SWE）两种技术系统性地整 合，并贯穿应用于儿童肝移植的术前评估、术中监测及术后随访的全过程，构建了一套无创、动态的立体化监 测体系。 2. 多参数融合评估：突破传统单一影像学评估的局限，创新性地将反映肝脏血管状况的“血流动力学参数”与反映肝组织质地的“生物力学硬度值”进行同步关联分析，为移植肝功能的评估提供了更为全面和立体的量化指标。 3. 早期预警价值探索：重点挖掘上述联合参数在移植术后排斥反应及血管并发症的早期识别与鉴别诊断中的独特 价值，旨在建立更灵敏的早期预警指标，为临床干预争取宝贵时间，最终为提升儿童肝移植的长期存活率提供全新的影像学解决方案。   </w:t>
      </w:r>
    </w:p>
    <w:p w14:paraId="5B41BA69">
      <w:pPr>
        <w:spacing w:line="360" w:lineRule="auto"/>
        <w:ind w:firstLine="480"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color w:val="0D0D0D"/>
          <w:sz w:val="24"/>
          <w:szCs w:val="24"/>
        </w:rPr>
        <w:t xml:space="preserve">科学价值：本研究具有重要的科学价值与临床意义。通过将CDFI与SWE技术创新性整合，我们构建了一套贯穿儿童肝移植全 程的无创、定量化监测与评估体系。该方案不仅能实时、动态揭示移植肝的血流灌注与组织生物力学特性的演变 规律，更为核心临床问题——如血管并发症的早期诊断与排斥反应的鉴别——提供了传统方法难以获取的客观影像学依据。其科学价值在于，不仅深化了对移植肝血流动力学与结构功能耦合机制的理解，更重要的是推动了肝 移植术后监测模式从“经验性判断”向“多参数量化精准评估”的范式转变。研究成果有望直接转化为提升术后并发症 预警能力、优化个体化治疗决策的临床实践，最终为改善儿童肝移植远期预后提供关键的技术支撑与理论依据。   </w:t>
      </w:r>
    </w:p>
    <w:p w14:paraId="52DA93CA">
      <w:pPr>
        <w:spacing w:line="360" w:lineRule="auto"/>
        <w:ind w:firstLine="480"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color w:val="0D0D0D"/>
          <w:sz w:val="24"/>
          <w:szCs w:val="24"/>
        </w:rPr>
        <w:t xml:space="preserve">社会效益：本研究的社会效益在于推动儿童肝移植术后管理向无创、精准化方向提升，通过提高长期生存质量有效减轻家庭照护负担，增强社会对终末期肝病儿童救治能力的信心，并为我国器官移植技术水平的进步贡献积极力量。   </w:t>
      </w:r>
    </w:p>
    <w:p w14:paraId="49270948">
      <w:pPr>
        <w:spacing w:line="360" w:lineRule="auto"/>
        <w:ind w:firstLine="480"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color w:val="0D0D0D"/>
          <w:sz w:val="24"/>
          <w:szCs w:val="24"/>
        </w:rPr>
        <w:t>经济效益：本研究通过无创监测技术的整合应用，能够有效降低儿童肝移植术后并发症的漏诊率，避免因延误治疗导致的再 次手术及高昂的后续医疗支出。该方案有助于缩短患儿平均住院时间，加快床位周转，直接减少医疗资源消耗。同时，早期精准干预可显著改善患儿长期生存质量，减轻家庭因长期照护与反复入院产生的经济负担，从整体上 优化了医疗资源的配置与使用效率，展现出显著的经济效益。</w:t>
      </w:r>
    </w:p>
    <w:p w14:paraId="799BE2B3">
      <w:pPr>
        <w:spacing w:line="360" w:lineRule="auto"/>
        <w:ind w:firstLine="482" w:firstLineChars="200"/>
        <w:rPr>
          <w:rFonts w:hint="eastAsia" w:asciiTheme="minorEastAsia" w:hAnsiTheme="minorEastAsia" w:eastAsiaTheme="minorEastAsia" w:cstheme="minorEastAsia"/>
          <w:b/>
          <w:bCs/>
          <w:color w:val="0D0D0D"/>
          <w:sz w:val="24"/>
          <w:szCs w:val="24"/>
        </w:rPr>
      </w:pPr>
      <w:r>
        <w:rPr>
          <w:rFonts w:hint="eastAsia" w:asciiTheme="minorEastAsia" w:hAnsiTheme="minorEastAsia" w:eastAsiaTheme="minorEastAsia" w:cstheme="minorEastAsia"/>
          <w:b/>
          <w:bCs/>
          <w:color w:val="0D0D0D"/>
          <w:sz w:val="24"/>
          <w:szCs w:val="24"/>
        </w:rPr>
        <w:t>5.代表性论文目录</w:t>
      </w:r>
    </w:p>
    <w:tbl>
      <w:tblPr>
        <w:tblStyle w:val="10"/>
        <w:tblW w:w="1090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40" w:type="dxa"/>
          <w:left w:w="64" w:type="dxa"/>
          <w:bottom w:w="40" w:type="dxa"/>
          <w:right w:w="64" w:type="dxa"/>
        </w:tblCellMar>
      </w:tblPr>
      <w:tblGrid>
        <w:gridCol w:w="648"/>
        <w:gridCol w:w="2509"/>
        <w:gridCol w:w="1440"/>
        <w:gridCol w:w="1590"/>
        <w:gridCol w:w="1731"/>
        <w:gridCol w:w="513"/>
        <w:gridCol w:w="838"/>
        <w:gridCol w:w="1048"/>
        <w:gridCol w:w="588"/>
      </w:tblGrid>
      <w:tr w14:paraId="2080C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tblHeader/>
          <w:jc w:val="center"/>
        </w:trPr>
        <w:tc>
          <w:tcPr>
            <w:tcW w:w="648" w:type="dxa"/>
            <w:vAlign w:val="center"/>
          </w:tcPr>
          <w:p w14:paraId="41215CD5">
            <w:pPr>
              <w:pStyle w:val="9"/>
              <w:snapToGrid w:val="0"/>
              <w:spacing w:before="179"/>
              <w:ind w:left="5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序号</w:t>
            </w:r>
          </w:p>
        </w:tc>
        <w:tc>
          <w:tcPr>
            <w:tcW w:w="2509" w:type="dxa"/>
            <w:vAlign w:val="center"/>
          </w:tcPr>
          <w:p w14:paraId="37F321A2">
            <w:pPr>
              <w:pStyle w:val="9"/>
              <w:snapToGrid w:val="0"/>
              <w:spacing w:before="179"/>
              <w:ind w:left="1308" w:right="129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论文名称</w:t>
            </w:r>
          </w:p>
        </w:tc>
        <w:tc>
          <w:tcPr>
            <w:tcW w:w="1440" w:type="dxa"/>
            <w:vAlign w:val="center"/>
          </w:tcPr>
          <w:p w14:paraId="055E1DEB">
            <w:pPr>
              <w:pStyle w:val="9"/>
              <w:snapToGrid w:val="0"/>
              <w:spacing w:before="179"/>
              <w:ind w:left="53" w:right="4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刊名</w:t>
            </w:r>
          </w:p>
        </w:tc>
        <w:tc>
          <w:tcPr>
            <w:tcW w:w="1590" w:type="dxa"/>
            <w:vAlign w:val="center"/>
          </w:tcPr>
          <w:p w14:paraId="6F87C784">
            <w:pPr>
              <w:pStyle w:val="9"/>
              <w:snapToGrid w:val="0"/>
              <w:spacing w:before="47" w:line="255" w:lineRule="exact"/>
              <w:ind w:left="42" w:right="29"/>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年卷（期）页码</w:t>
            </w:r>
          </w:p>
        </w:tc>
        <w:tc>
          <w:tcPr>
            <w:tcW w:w="1731" w:type="dxa"/>
            <w:vAlign w:val="center"/>
          </w:tcPr>
          <w:p w14:paraId="46FE08AA">
            <w:pPr>
              <w:pStyle w:val="9"/>
              <w:snapToGrid w:val="0"/>
              <w:spacing w:before="179"/>
              <w:ind w:left="398"/>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全部作者</w:t>
            </w:r>
          </w:p>
        </w:tc>
        <w:tc>
          <w:tcPr>
            <w:tcW w:w="513" w:type="dxa"/>
            <w:vAlign w:val="center"/>
          </w:tcPr>
          <w:p w14:paraId="6BCF1675">
            <w:pPr>
              <w:pStyle w:val="9"/>
              <w:snapToGrid w:val="0"/>
              <w:spacing w:before="47" w:line="255" w:lineRule="exact"/>
              <w:ind w:right="-1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第一作者</w:t>
            </w:r>
          </w:p>
        </w:tc>
        <w:tc>
          <w:tcPr>
            <w:tcW w:w="838" w:type="dxa"/>
            <w:vAlign w:val="center"/>
          </w:tcPr>
          <w:p w14:paraId="6BCD92F8">
            <w:pPr>
              <w:pStyle w:val="9"/>
              <w:snapToGrid w:val="0"/>
              <w:spacing w:before="47" w:line="255" w:lineRule="exact"/>
              <w:ind w:right="-1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通讯作者</w:t>
            </w:r>
          </w:p>
        </w:tc>
        <w:tc>
          <w:tcPr>
            <w:tcW w:w="1048" w:type="dxa"/>
            <w:vAlign w:val="center"/>
          </w:tcPr>
          <w:p w14:paraId="488C3160">
            <w:pPr>
              <w:pStyle w:val="9"/>
              <w:snapToGrid w:val="0"/>
              <w:spacing w:before="179"/>
              <w:ind w:right="-1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影响因子</w:t>
            </w:r>
          </w:p>
        </w:tc>
        <w:tc>
          <w:tcPr>
            <w:tcW w:w="588" w:type="dxa"/>
            <w:vAlign w:val="center"/>
          </w:tcPr>
          <w:p w14:paraId="05F4EEFB">
            <w:pPr>
              <w:pStyle w:val="9"/>
              <w:snapToGrid w:val="0"/>
              <w:spacing w:before="47" w:line="255" w:lineRule="exact"/>
              <w:ind w:right="-1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他引次数</w:t>
            </w:r>
          </w:p>
        </w:tc>
      </w:tr>
      <w:tr w14:paraId="4F300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08A543CF">
            <w:pPr>
              <w:pStyle w:val="9"/>
              <w:snapToGrid w:val="0"/>
              <w:spacing w:before="0"/>
              <w:ind w:left="0"/>
              <w:jc w:val="center"/>
              <w:rPr>
                <w:rFonts w:hint="eastAsia" w:asciiTheme="minorEastAsia" w:hAnsiTheme="minorEastAsia" w:eastAsiaTheme="minorEastAsia" w:cstheme="minorEastAsia"/>
                <w:sz w:val="24"/>
                <w:szCs w:val="24"/>
              </w:rPr>
            </w:pPr>
          </w:p>
          <w:p w14:paraId="47271BAA">
            <w:pPr>
              <w:pStyle w:val="9"/>
              <w:snapToGrid w:val="0"/>
              <w:spacing w:before="8"/>
              <w:ind w:left="0"/>
              <w:jc w:val="center"/>
              <w:rPr>
                <w:rFonts w:hint="eastAsia" w:asciiTheme="minorEastAsia" w:hAnsiTheme="minorEastAsia" w:eastAsiaTheme="minorEastAsia" w:cstheme="minorEastAsia"/>
                <w:sz w:val="24"/>
                <w:szCs w:val="24"/>
              </w:rPr>
            </w:pPr>
          </w:p>
          <w:p w14:paraId="425D1CD4">
            <w:pPr>
              <w:pStyle w:val="9"/>
              <w:snapToGrid w:val="0"/>
              <w:spacing w:before="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w:t>
            </w:r>
          </w:p>
        </w:tc>
        <w:tc>
          <w:tcPr>
            <w:tcW w:w="2509" w:type="dxa"/>
            <w:vAlign w:val="center"/>
          </w:tcPr>
          <w:p w14:paraId="0927C337">
            <w:pPr>
              <w:pStyle w:val="9"/>
              <w:snapToGrid w:val="0"/>
              <w:spacing w:before="179" w:line="285" w:lineRule="auto"/>
              <w:ind w:right="-1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 Nomogram Predicting the Prognosi s of Children With Biliary Atresia After Hepatoportoenterostomy </w:t>
            </w:r>
          </w:p>
        </w:tc>
        <w:tc>
          <w:tcPr>
            <w:tcW w:w="1440" w:type="dxa"/>
            <w:vAlign w:val="center"/>
          </w:tcPr>
          <w:p w14:paraId="5578D26C">
            <w:pPr>
              <w:pStyle w:val="9"/>
              <w:snapToGrid w:val="0"/>
              <w:spacing w:before="10"/>
              <w:ind w:left="0"/>
              <w:jc w:val="left"/>
              <w:rPr>
                <w:rFonts w:hint="eastAsia" w:asciiTheme="minorEastAsia" w:hAnsiTheme="minorEastAsia" w:eastAsiaTheme="minorEastAsia" w:cstheme="minorEastAsia"/>
                <w:sz w:val="24"/>
                <w:szCs w:val="24"/>
              </w:rPr>
            </w:pPr>
          </w:p>
          <w:p w14:paraId="172D50FA">
            <w:pPr>
              <w:pStyle w:val="9"/>
              <w:snapToGrid w:val="0"/>
              <w:spacing w:before="0" w:line="285" w:lineRule="auto"/>
              <w:ind w:left="106" w:right="9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FRONTIERS IN PEDIATRICS </w:t>
            </w:r>
          </w:p>
        </w:tc>
        <w:tc>
          <w:tcPr>
            <w:tcW w:w="1590" w:type="dxa"/>
            <w:vAlign w:val="center"/>
          </w:tcPr>
          <w:p w14:paraId="40885532">
            <w:pPr>
              <w:pStyle w:val="9"/>
              <w:snapToGrid w:val="0"/>
              <w:spacing w:before="0"/>
              <w:ind w:left="0"/>
              <w:jc w:val="center"/>
              <w:rPr>
                <w:rFonts w:hint="eastAsia" w:asciiTheme="minorEastAsia" w:hAnsiTheme="minorEastAsia" w:eastAsiaTheme="minorEastAsia" w:cstheme="minorEastAsia"/>
                <w:sz w:val="24"/>
                <w:szCs w:val="24"/>
              </w:rPr>
            </w:pPr>
          </w:p>
          <w:p w14:paraId="493938DA">
            <w:pPr>
              <w:pStyle w:val="9"/>
              <w:snapToGrid w:val="0"/>
              <w:spacing w:before="8"/>
              <w:ind w:left="0"/>
              <w:jc w:val="center"/>
              <w:rPr>
                <w:rFonts w:hint="eastAsia" w:asciiTheme="minorEastAsia" w:hAnsiTheme="minorEastAsia" w:eastAsiaTheme="minorEastAsia" w:cstheme="minorEastAsia"/>
                <w:sz w:val="24"/>
                <w:szCs w:val="24"/>
              </w:rPr>
            </w:pPr>
          </w:p>
          <w:p w14:paraId="3346ED4B">
            <w:pPr>
              <w:pStyle w:val="9"/>
              <w:snapToGrid w:val="0"/>
              <w:spacing w:before="1"/>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9:641318 </w:t>
            </w:r>
          </w:p>
        </w:tc>
        <w:tc>
          <w:tcPr>
            <w:tcW w:w="1731" w:type="dxa"/>
            <w:vAlign w:val="center"/>
          </w:tcPr>
          <w:p w14:paraId="430A37E1">
            <w:pPr>
              <w:pStyle w:val="9"/>
              <w:snapToGrid w:val="0"/>
              <w:spacing w:before="27" w:line="285" w:lineRule="auto"/>
              <w:ind w:left="94" w:right="78"/>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刘金桥；陈文 娟；周梦洁；李文凤；唐菊；周</w:t>
            </w:r>
          </w:p>
          <w:p w14:paraId="7A0E8036">
            <w:pPr>
              <w:pStyle w:val="9"/>
              <w:snapToGrid w:val="0"/>
              <w:spacing w:before="0" w:line="252" w:lineRule="exact"/>
              <w:ind w:left="91" w:right="7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启昌 </w:t>
            </w:r>
          </w:p>
        </w:tc>
        <w:tc>
          <w:tcPr>
            <w:tcW w:w="513" w:type="dxa"/>
            <w:vAlign w:val="center"/>
          </w:tcPr>
          <w:p w14:paraId="195990C7">
            <w:pPr>
              <w:pStyle w:val="9"/>
              <w:snapToGrid w:val="0"/>
              <w:spacing w:before="10"/>
              <w:ind w:left="0"/>
              <w:jc w:val="center"/>
              <w:rPr>
                <w:rFonts w:hint="eastAsia" w:asciiTheme="minorEastAsia" w:hAnsiTheme="minorEastAsia" w:eastAsiaTheme="minorEastAsia" w:cstheme="minorEastAsia"/>
                <w:sz w:val="24"/>
                <w:szCs w:val="24"/>
              </w:rPr>
            </w:pPr>
          </w:p>
          <w:p w14:paraId="1C13F132">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刘金桥 </w:t>
            </w:r>
          </w:p>
        </w:tc>
        <w:tc>
          <w:tcPr>
            <w:tcW w:w="838" w:type="dxa"/>
            <w:vAlign w:val="center"/>
          </w:tcPr>
          <w:p w14:paraId="4418C8E8">
            <w:pPr>
              <w:pStyle w:val="9"/>
              <w:snapToGrid w:val="0"/>
              <w:spacing w:before="10"/>
              <w:ind w:left="0"/>
              <w:jc w:val="center"/>
              <w:rPr>
                <w:rFonts w:hint="eastAsia" w:asciiTheme="minorEastAsia" w:hAnsiTheme="minorEastAsia" w:eastAsiaTheme="minorEastAsia" w:cstheme="minorEastAsia"/>
                <w:sz w:val="24"/>
                <w:szCs w:val="24"/>
              </w:rPr>
            </w:pPr>
          </w:p>
          <w:p w14:paraId="05E03989">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周启昌 </w:t>
            </w:r>
          </w:p>
        </w:tc>
        <w:tc>
          <w:tcPr>
            <w:tcW w:w="1048" w:type="dxa"/>
            <w:vAlign w:val="center"/>
          </w:tcPr>
          <w:p w14:paraId="060BFAAA">
            <w:pPr>
              <w:pStyle w:val="9"/>
              <w:snapToGrid w:val="0"/>
              <w:spacing w:before="0"/>
              <w:ind w:left="0"/>
              <w:jc w:val="right"/>
              <w:rPr>
                <w:rFonts w:hint="eastAsia" w:asciiTheme="minorEastAsia" w:hAnsiTheme="minorEastAsia" w:eastAsiaTheme="minorEastAsia" w:cstheme="minorEastAsia"/>
                <w:sz w:val="24"/>
                <w:szCs w:val="24"/>
              </w:rPr>
            </w:pPr>
          </w:p>
          <w:p w14:paraId="149C0096">
            <w:pPr>
              <w:pStyle w:val="9"/>
              <w:snapToGrid w:val="0"/>
              <w:spacing w:before="8"/>
              <w:ind w:left="0"/>
              <w:jc w:val="right"/>
              <w:rPr>
                <w:rFonts w:hint="eastAsia" w:asciiTheme="minorEastAsia" w:hAnsiTheme="minorEastAsia" w:eastAsiaTheme="minorEastAsia" w:cstheme="minorEastAsia"/>
                <w:sz w:val="24"/>
                <w:szCs w:val="24"/>
              </w:rPr>
            </w:pPr>
          </w:p>
          <w:p w14:paraId="3FCF3024">
            <w:pPr>
              <w:pStyle w:val="9"/>
              <w:snapToGrid w:val="0"/>
              <w:spacing w:before="1"/>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3.569 </w:t>
            </w:r>
          </w:p>
        </w:tc>
        <w:tc>
          <w:tcPr>
            <w:tcW w:w="588" w:type="dxa"/>
            <w:vAlign w:val="center"/>
          </w:tcPr>
          <w:p w14:paraId="0A76B105">
            <w:pPr>
              <w:pStyle w:val="9"/>
              <w:snapToGrid w:val="0"/>
              <w:spacing w:before="0"/>
              <w:ind w:left="0"/>
              <w:jc w:val="right"/>
              <w:rPr>
                <w:rFonts w:hint="eastAsia" w:asciiTheme="minorEastAsia" w:hAnsiTheme="minorEastAsia" w:eastAsiaTheme="minorEastAsia" w:cstheme="minorEastAsia"/>
                <w:sz w:val="24"/>
                <w:szCs w:val="24"/>
              </w:rPr>
            </w:pPr>
          </w:p>
          <w:p w14:paraId="0671BB6D">
            <w:pPr>
              <w:pStyle w:val="9"/>
              <w:snapToGrid w:val="0"/>
              <w:spacing w:before="8"/>
              <w:ind w:left="0"/>
              <w:jc w:val="right"/>
              <w:rPr>
                <w:rFonts w:hint="eastAsia" w:asciiTheme="minorEastAsia" w:hAnsiTheme="minorEastAsia" w:eastAsiaTheme="minorEastAsia" w:cstheme="minorEastAsia"/>
                <w:sz w:val="24"/>
                <w:szCs w:val="24"/>
              </w:rPr>
            </w:pPr>
          </w:p>
          <w:p w14:paraId="542FF753">
            <w:pPr>
              <w:pStyle w:val="9"/>
              <w:snapToGrid w:val="0"/>
              <w:spacing w:before="1"/>
              <w:ind w:left="38" w:right="2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8 </w:t>
            </w:r>
          </w:p>
        </w:tc>
      </w:tr>
      <w:tr w14:paraId="14237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001137E4">
            <w:pPr>
              <w:pStyle w:val="9"/>
              <w:snapToGrid w:val="0"/>
              <w:spacing w:before="0"/>
              <w:ind w:left="0"/>
              <w:jc w:val="center"/>
              <w:rPr>
                <w:rFonts w:hint="eastAsia" w:asciiTheme="minorEastAsia" w:hAnsiTheme="minorEastAsia" w:eastAsiaTheme="minorEastAsia" w:cstheme="minorEastAsia"/>
                <w:sz w:val="24"/>
                <w:szCs w:val="24"/>
              </w:rPr>
            </w:pPr>
          </w:p>
          <w:p w14:paraId="2F99C9F2">
            <w:pPr>
              <w:pStyle w:val="9"/>
              <w:snapToGrid w:val="0"/>
              <w:spacing w:before="8"/>
              <w:ind w:left="0"/>
              <w:jc w:val="center"/>
              <w:rPr>
                <w:rFonts w:hint="eastAsia" w:asciiTheme="minorEastAsia" w:hAnsiTheme="minorEastAsia" w:eastAsiaTheme="minorEastAsia" w:cstheme="minorEastAsia"/>
                <w:sz w:val="24"/>
                <w:szCs w:val="24"/>
              </w:rPr>
            </w:pPr>
          </w:p>
          <w:p w14:paraId="39E51186">
            <w:pPr>
              <w:pStyle w:val="9"/>
              <w:snapToGrid w:val="0"/>
              <w:spacing w:before="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w:t>
            </w:r>
          </w:p>
        </w:tc>
        <w:tc>
          <w:tcPr>
            <w:tcW w:w="2509" w:type="dxa"/>
            <w:vAlign w:val="center"/>
          </w:tcPr>
          <w:p w14:paraId="23DE032B">
            <w:pPr>
              <w:pStyle w:val="9"/>
              <w:snapToGrid w:val="0"/>
              <w:spacing w:before="27" w:line="285" w:lineRule="auto"/>
              <w:ind w:right="-1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Ultrasound-Based Multimodal Imagin g Predicting Ischemic-Type Biliary Lesions After Living-Donor Liver T</w:t>
            </w:r>
          </w:p>
          <w:p w14:paraId="172C5906">
            <w:pPr>
              <w:pStyle w:val="9"/>
              <w:snapToGrid w:val="0"/>
              <w:spacing w:before="0" w:line="252"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ransplantation </w:t>
            </w:r>
          </w:p>
        </w:tc>
        <w:tc>
          <w:tcPr>
            <w:tcW w:w="1440" w:type="dxa"/>
            <w:vAlign w:val="center"/>
          </w:tcPr>
          <w:p w14:paraId="1B5FEAD6">
            <w:pPr>
              <w:pStyle w:val="9"/>
              <w:snapToGrid w:val="0"/>
              <w:spacing w:before="27" w:line="285" w:lineRule="auto"/>
              <w:ind w:left="56" w:right="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INTERNATIONAL JOURNAL OF GENERAL</w:t>
            </w:r>
          </w:p>
          <w:p w14:paraId="49C0DB4C">
            <w:pPr>
              <w:pStyle w:val="9"/>
              <w:snapToGrid w:val="0"/>
              <w:spacing w:before="0" w:line="252" w:lineRule="exact"/>
              <w:ind w:left="53" w:right="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MEDICINE </w:t>
            </w:r>
          </w:p>
        </w:tc>
        <w:tc>
          <w:tcPr>
            <w:tcW w:w="1590" w:type="dxa"/>
            <w:vAlign w:val="center"/>
          </w:tcPr>
          <w:p w14:paraId="06A9DE5C">
            <w:pPr>
              <w:pStyle w:val="9"/>
              <w:snapToGrid w:val="0"/>
              <w:spacing w:before="10"/>
              <w:ind w:left="0"/>
              <w:jc w:val="center"/>
              <w:rPr>
                <w:rFonts w:hint="eastAsia" w:asciiTheme="minorEastAsia" w:hAnsiTheme="minorEastAsia" w:eastAsiaTheme="minorEastAsia" w:cstheme="minorEastAsia"/>
                <w:sz w:val="24"/>
                <w:szCs w:val="24"/>
              </w:rPr>
            </w:pPr>
          </w:p>
          <w:p w14:paraId="3DC42A8A">
            <w:pPr>
              <w:pStyle w:val="9"/>
              <w:snapToGrid w:val="0"/>
              <w:spacing w:before="0"/>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14:1599-</w:t>
            </w:r>
          </w:p>
          <w:p w14:paraId="29A0D609">
            <w:pPr>
              <w:pStyle w:val="9"/>
              <w:snapToGrid w:val="0"/>
              <w:spacing w:before="48"/>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1609 </w:t>
            </w:r>
          </w:p>
        </w:tc>
        <w:tc>
          <w:tcPr>
            <w:tcW w:w="1731" w:type="dxa"/>
            <w:vAlign w:val="center"/>
          </w:tcPr>
          <w:p w14:paraId="1A3FF24F">
            <w:pPr>
              <w:pStyle w:val="9"/>
              <w:snapToGrid w:val="0"/>
              <w:spacing w:before="179" w:line="285" w:lineRule="auto"/>
              <w:ind w:left="94" w:right="78"/>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刘金桥；陈文 娟；周梦洁；李文凤；唐菊 </w:t>
            </w:r>
          </w:p>
        </w:tc>
        <w:tc>
          <w:tcPr>
            <w:tcW w:w="513" w:type="dxa"/>
            <w:vAlign w:val="center"/>
          </w:tcPr>
          <w:p w14:paraId="223F8EC7">
            <w:pPr>
              <w:pStyle w:val="9"/>
              <w:snapToGrid w:val="0"/>
              <w:spacing w:before="10"/>
              <w:ind w:left="0"/>
              <w:jc w:val="center"/>
              <w:rPr>
                <w:rFonts w:hint="eastAsia" w:asciiTheme="minorEastAsia" w:hAnsiTheme="minorEastAsia" w:eastAsiaTheme="minorEastAsia" w:cstheme="minorEastAsia"/>
                <w:sz w:val="24"/>
                <w:szCs w:val="24"/>
                <w:lang w:eastAsia="zh-CN"/>
              </w:rPr>
            </w:pPr>
          </w:p>
          <w:p w14:paraId="7B55261B">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刘金桥 </w:t>
            </w:r>
          </w:p>
        </w:tc>
        <w:tc>
          <w:tcPr>
            <w:tcW w:w="838" w:type="dxa"/>
            <w:vAlign w:val="center"/>
          </w:tcPr>
          <w:p w14:paraId="0CA3D465">
            <w:pPr>
              <w:pStyle w:val="9"/>
              <w:snapToGrid w:val="0"/>
              <w:spacing w:before="10"/>
              <w:ind w:left="0"/>
              <w:jc w:val="center"/>
              <w:rPr>
                <w:rFonts w:hint="eastAsia" w:asciiTheme="minorEastAsia" w:hAnsiTheme="minorEastAsia" w:eastAsiaTheme="minorEastAsia" w:cstheme="minorEastAsia"/>
                <w:sz w:val="24"/>
                <w:szCs w:val="24"/>
              </w:rPr>
            </w:pPr>
          </w:p>
          <w:p w14:paraId="0417E077">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陈文娟 </w:t>
            </w:r>
          </w:p>
        </w:tc>
        <w:tc>
          <w:tcPr>
            <w:tcW w:w="1048" w:type="dxa"/>
            <w:vAlign w:val="center"/>
          </w:tcPr>
          <w:p w14:paraId="230AEA6F">
            <w:pPr>
              <w:pStyle w:val="9"/>
              <w:snapToGrid w:val="0"/>
              <w:spacing w:before="0"/>
              <w:ind w:left="0"/>
              <w:jc w:val="right"/>
              <w:rPr>
                <w:rFonts w:hint="eastAsia" w:asciiTheme="minorEastAsia" w:hAnsiTheme="minorEastAsia" w:eastAsiaTheme="minorEastAsia" w:cstheme="minorEastAsia"/>
                <w:sz w:val="24"/>
                <w:szCs w:val="24"/>
              </w:rPr>
            </w:pPr>
          </w:p>
          <w:p w14:paraId="74D05673">
            <w:pPr>
              <w:pStyle w:val="9"/>
              <w:snapToGrid w:val="0"/>
              <w:spacing w:before="8"/>
              <w:ind w:left="0"/>
              <w:jc w:val="right"/>
              <w:rPr>
                <w:rFonts w:hint="eastAsia" w:asciiTheme="minorEastAsia" w:hAnsiTheme="minorEastAsia" w:eastAsiaTheme="minorEastAsia" w:cstheme="minorEastAsia"/>
                <w:sz w:val="24"/>
                <w:szCs w:val="24"/>
              </w:rPr>
            </w:pPr>
          </w:p>
          <w:p w14:paraId="77916778">
            <w:pPr>
              <w:pStyle w:val="9"/>
              <w:snapToGrid w:val="0"/>
              <w:spacing w:before="1"/>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2.145 </w:t>
            </w:r>
          </w:p>
        </w:tc>
        <w:tc>
          <w:tcPr>
            <w:tcW w:w="588" w:type="dxa"/>
            <w:vAlign w:val="center"/>
          </w:tcPr>
          <w:p w14:paraId="203B63CD">
            <w:pPr>
              <w:pStyle w:val="9"/>
              <w:snapToGrid w:val="0"/>
              <w:spacing w:before="0"/>
              <w:ind w:left="0"/>
              <w:jc w:val="right"/>
              <w:rPr>
                <w:rFonts w:hint="eastAsia" w:asciiTheme="minorEastAsia" w:hAnsiTheme="minorEastAsia" w:eastAsiaTheme="minorEastAsia" w:cstheme="minorEastAsia"/>
                <w:sz w:val="24"/>
                <w:szCs w:val="24"/>
              </w:rPr>
            </w:pPr>
          </w:p>
          <w:p w14:paraId="21707708">
            <w:pPr>
              <w:pStyle w:val="9"/>
              <w:snapToGrid w:val="0"/>
              <w:spacing w:before="8"/>
              <w:ind w:left="0"/>
              <w:jc w:val="right"/>
              <w:rPr>
                <w:rFonts w:hint="eastAsia" w:asciiTheme="minorEastAsia" w:hAnsiTheme="minorEastAsia" w:eastAsiaTheme="minorEastAsia" w:cstheme="minorEastAsia"/>
                <w:sz w:val="24"/>
                <w:szCs w:val="24"/>
              </w:rPr>
            </w:pPr>
          </w:p>
          <w:p w14:paraId="72933349">
            <w:pPr>
              <w:pStyle w:val="9"/>
              <w:snapToGrid w:val="0"/>
              <w:spacing w:before="1"/>
              <w:ind w:left="38" w:right="2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w:t>
            </w:r>
          </w:p>
        </w:tc>
      </w:tr>
      <w:tr w14:paraId="4DF67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30D9F8C4">
            <w:pPr>
              <w:pStyle w:val="9"/>
              <w:snapToGrid w:val="0"/>
              <w:spacing w:before="0"/>
              <w:ind w:left="0"/>
              <w:jc w:val="center"/>
              <w:rPr>
                <w:rFonts w:hint="eastAsia" w:asciiTheme="minorEastAsia" w:hAnsiTheme="minorEastAsia" w:eastAsiaTheme="minorEastAsia" w:cstheme="minorEastAsia"/>
                <w:sz w:val="24"/>
                <w:szCs w:val="24"/>
              </w:rPr>
            </w:pPr>
          </w:p>
          <w:p w14:paraId="352932D9">
            <w:pPr>
              <w:pStyle w:val="9"/>
              <w:snapToGrid w:val="0"/>
              <w:spacing w:before="8"/>
              <w:ind w:left="0"/>
              <w:jc w:val="center"/>
              <w:rPr>
                <w:rFonts w:hint="eastAsia" w:asciiTheme="minorEastAsia" w:hAnsiTheme="minorEastAsia" w:eastAsiaTheme="minorEastAsia" w:cstheme="minorEastAsia"/>
                <w:sz w:val="24"/>
                <w:szCs w:val="24"/>
              </w:rPr>
            </w:pPr>
          </w:p>
          <w:p w14:paraId="089078CA">
            <w:pPr>
              <w:pStyle w:val="9"/>
              <w:snapToGrid w:val="0"/>
              <w:spacing w:before="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w:t>
            </w:r>
          </w:p>
        </w:tc>
        <w:tc>
          <w:tcPr>
            <w:tcW w:w="2509" w:type="dxa"/>
            <w:vAlign w:val="center"/>
          </w:tcPr>
          <w:p w14:paraId="29769B93">
            <w:pPr>
              <w:pStyle w:val="9"/>
              <w:snapToGrid w:val="0"/>
              <w:spacing w:before="179" w:line="285" w:lineRule="auto"/>
              <w:ind w:right="-15"/>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数字化三维重建技术联合术中 B</w:t>
            </w:r>
            <w:r>
              <w:rPr>
                <w:rFonts w:hint="eastAsia" w:asciiTheme="minorEastAsia" w:hAnsiTheme="minorEastAsia" w:eastAsiaTheme="minorEastAsia" w:cstheme="minorEastAsia"/>
                <w:spacing w:val="2"/>
                <w:sz w:val="24"/>
                <w:szCs w:val="24"/>
                <w:lang w:eastAsia="zh-CN"/>
              </w:rPr>
              <w:t xml:space="preserve"> 超导航在儿童解剖性肝切除手术中的应用研究 </w:t>
            </w:r>
          </w:p>
        </w:tc>
        <w:tc>
          <w:tcPr>
            <w:tcW w:w="1440" w:type="dxa"/>
            <w:vAlign w:val="center"/>
          </w:tcPr>
          <w:p w14:paraId="463B271A">
            <w:pPr>
              <w:pStyle w:val="9"/>
              <w:snapToGrid w:val="0"/>
              <w:spacing w:before="10"/>
              <w:ind w:left="0"/>
              <w:jc w:val="left"/>
              <w:rPr>
                <w:rFonts w:hint="eastAsia" w:asciiTheme="minorEastAsia" w:hAnsiTheme="minorEastAsia" w:eastAsiaTheme="minorEastAsia" w:cstheme="minorEastAsia"/>
                <w:sz w:val="24"/>
                <w:szCs w:val="24"/>
                <w:lang w:eastAsia="zh-CN"/>
              </w:rPr>
            </w:pPr>
          </w:p>
          <w:p w14:paraId="6657DBF9">
            <w:pPr>
              <w:pStyle w:val="9"/>
              <w:snapToGrid w:val="0"/>
              <w:spacing w:before="0" w:line="285" w:lineRule="auto"/>
              <w:ind w:left="512" w:right="-15" w:hanging="507"/>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临床小儿外科杂志 </w:t>
            </w:r>
          </w:p>
        </w:tc>
        <w:tc>
          <w:tcPr>
            <w:tcW w:w="1590" w:type="dxa"/>
            <w:vAlign w:val="center"/>
          </w:tcPr>
          <w:p w14:paraId="539EBCE4">
            <w:pPr>
              <w:pStyle w:val="9"/>
              <w:snapToGrid w:val="0"/>
              <w:spacing w:before="10"/>
              <w:ind w:left="0"/>
              <w:jc w:val="center"/>
              <w:rPr>
                <w:rFonts w:hint="eastAsia" w:asciiTheme="minorEastAsia" w:hAnsiTheme="minorEastAsia" w:eastAsiaTheme="minorEastAsia" w:cstheme="minorEastAsia"/>
                <w:sz w:val="24"/>
                <w:szCs w:val="24"/>
              </w:rPr>
            </w:pPr>
          </w:p>
          <w:p w14:paraId="0BC16414">
            <w:pPr>
              <w:pStyle w:val="9"/>
              <w:snapToGrid w:val="0"/>
              <w:spacing w:before="0"/>
              <w:ind w:left="10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20（10）</w:t>
            </w:r>
          </w:p>
          <w:p w14:paraId="1529004D">
            <w:pPr>
              <w:pStyle w:val="9"/>
              <w:snapToGrid w:val="0"/>
              <w:spacing w:before="48"/>
              <w:ind w:left="56"/>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930-934 </w:t>
            </w:r>
          </w:p>
        </w:tc>
        <w:tc>
          <w:tcPr>
            <w:tcW w:w="1731" w:type="dxa"/>
            <w:vAlign w:val="center"/>
          </w:tcPr>
          <w:p w14:paraId="60FD43D1">
            <w:pPr>
              <w:pStyle w:val="9"/>
              <w:snapToGrid w:val="0"/>
              <w:spacing w:before="27" w:line="285" w:lineRule="auto"/>
              <w:ind w:left="94" w:right="78" w:firstLine="101"/>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刘金桥；陈文娟；尹强；彭宇明；张杰；彭颖</w:t>
            </w:r>
          </w:p>
          <w:p w14:paraId="6F1F8B74">
            <w:pPr>
              <w:pStyle w:val="9"/>
              <w:snapToGrid w:val="0"/>
              <w:spacing w:before="0" w:line="252" w:lineRule="exact"/>
              <w:ind w:left="19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慧；袁文芳 </w:t>
            </w:r>
          </w:p>
        </w:tc>
        <w:tc>
          <w:tcPr>
            <w:tcW w:w="513" w:type="dxa"/>
            <w:vAlign w:val="center"/>
          </w:tcPr>
          <w:p w14:paraId="2835DBE0">
            <w:pPr>
              <w:pStyle w:val="9"/>
              <w:snapToGrid w:val="0"/>
              <w:spacing w:before="10"/>
              <w:ind w:left="0"/>
              <w:jc w:val="center"/>
              <w:rPr>
                <w:rFonts w:hint="eastAsia" w:asciiTheme="minorEastAsia" w:hAnsiTheme="minorEastAsia" w:eastAsiaTheme="minorEastAsia" w:cstheme="minorEastAsia"/>
                <w:sz w:val="24"/>
                <w:szCs w:val="24"/>
              </w:rPr>
            </w:pPr>
          </w:p>
          <w:p w14:paraId="3540E83B">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刘金桥 </w:t>
            </w:r>
          </w:p>
        </w:tc>
        <w:tc>
          <w:tcPr>
            <w:tcW w:w="838" w:type="dxa"/>
            <w:vAlign w:val="center"/>
          </w:tcPr>
          <w:p w14:paraId="161A00B2">
            <w:pPr>
              <w:pStyle w:val="9"/>
              <w:snapToGrid w:val="0"/>
              <w:spacing w:before="10"/>
              <w:ind w:left="0"/>
              <w:jc w:val="center"/>
              <w:rPr>
                <w:rFonts w:hint="eastAsia" w:asciiTheme="minorEastAsia" w:hAnsiTheme="minorEastAsia" w:eastAsiaTheme="minorEastAsia" w:cstheme="minorEastAsia"/>
                <w:sz w:val="24"/>
                <w:szCs w:val="24"/>
              </w:rPr>
            </w:pPr>
          </w:p>
          <w:p w14:paraId="7E99574B">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刘金桥 </w:t>
            </w:r>
          </w:p>
        </w:tc>
        <w:tc>
          <w:tcPr>
            <w:tcW w:w="1048" w:type="dxa"/>
            <w:vAlign w:val="center"/>
          </w:tcPr>
          <w:p w14:paraId="5BB6E602">
            <w:pPr>
              <w:pStyle w:val="9"/>
              <w:snapToGrid w:val="0"/>
              <w:spacing w:before="0"/>
              <w:ind w:left="0"/>
              <w:jc w:val="right"/>
              <w:rPr>
                <w:rFonts w:hint="eastAsia" w:asciiTheme="minorEastAsia" w:hAnsiTheme="minorEastAsia" w:eastAsiaTheme="minorEastAsia" w:cstheme="minorEastAsia"/>
                <w:sz w:val="24"/>
                <w:szCs w:val="24"/>
              </w:rPr>
            </w:pPr>
          </w:p>
          <w:p w14:paraId="12A2CE0B">
            <w:pPr>
              <w:pStyle w:val="9"/>
              <w:snapToGrid w:val="0"/>
              <w:spacing w:before="8"/>
              <w:ind w:left="0"/>
              <w:jc w:val="right"/>
              <w:rPr>
                <w:rFonts w:hint="eastAsia" w:asciiTheme="minorEastAsia" w:hAnsiTheme="minorEastAsia" w:eastAsiaTheme="minorEastAsia" w:cstheme="minorEastAsia"/>
                <w:sz w:val="24"/>
                <w:szCs w:val="24"/>
              </w:rPr>
            </w:pPr>
          </w:p>
          <w:p w14:paraId="0AC74461">
            <w:pPr>
              <w:pStyle w:val="9"/>
              <w:snapToGrid w:val="0"/>
              <w:spacing w:before="1"/>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0 </w:t>
            </w:r>
          </w:p>
        </w:tc>
        <w:tc>
          <w:tcPr>
            <w:tcW w:w="588" w:type="dxa"/>
            <w:vAlign w:val="center"/>
          </w:tcPr>
          <w:p w14:paraId="1997028D">
            <w:pPr>
              <w:pStyle w:val="9"/>
              <w:snapToGrid w:val="0"/>
              <w:spacing w:before="0"/>
              <w:ind w:left="0"/>
              <w:jc w:val="right"/>
              <w:rPr>
                <w:rFonts w:hint="eastAsia" w:asciiTheme="minorEastAsia" w:hAnsiTheme="minorEastAsia" w:eastAsiaTheme="minorEastAsia" w:cstheme="minorEastAsia"/>
                <w:sz w:val="24"/>
                <w:szCs w:val="24"/>
              </w:rPr>
            </w:pPr>
          </w:p>
          <w:p w14:paraId="51498F5F">
            <w:pPr>
              <w:pStyle w:val="9"/>
              <w:snapToGrid w:val="0"/>
              <w:spacing w:before="8"/>
              <w:ind w:left="0"/>
              <w:jc w:val="right"/>
              <w:rPr>
                <w:rFonts w:hint="eastAsia" w:asciiTheme="minorEastAsia" w:hAnsiTheme="minorEastAsia" w:eastAsiaTheme="minorEastAsia" w:cstheme="minorEastAsia"/>
                <w:sz w:val="24"/>
                <w:szCs w:val="24"/>
              </w:rPr>
            </w:pPr>
          </w:p>
          <w:p w14:paraId="0E0E198A">
            <w:pPr>
              <w:pStyle w:val="9"/>
              <w:snapToGrid w:val="0"/>
              <w:spacing w:before="1"/>
              <w:ind w:left="38" w:right="2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w:t>
            </w:r>
          </w:p>
        </w:tc>
      </w:tr>
      <w:tr w14:paraId="1553A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0350AEED">
            <w:pPr>
              <w:pStyle w:val="9"/>
              <w:snapToGrid w:val="0"/>
              <w:spacing w:before="0"/>
              <w:ind w:left="0"/>
              <w:jc w:val="center"/>
              <w:rPr>
                <w:rFonts w:hint="eastAsia" w:asciiTheme="minorEastAsia" w:hAnsiTheme="minorEastAsia" w:eastAsiaTheme="minorEastAsia" w:cstheme="minorEastAsia"/>
                <w:sz w:val="24"/>
                <w:szCs w:val="24"/>
              </w:rPr>
            </w:pPr>
          </w:p>
          <w:p w14:paraId="49536628">
            <w:pPr>
              <w:pStyle w:val="9"/>
              <w:snapToGrid w:val="0"/>
              <w:spacing w:before="8"/>
              <w:ind w:left="0"/>
              <w:jc w:val="center"/>
              <w:rPr>
                <w:rFonts w:hint="eastAsia" w:asciiTheme="minorEastAsia" w:hAnsiTheme="minorEastAsia" w:eastAsiaTheme="minorEastAsia" w:cstheme="minorEastAsia"/>
                <w:sz w:val="24"/>
                <w:szCs w:val="24"/>
              </w:rPr>
            </w:pPr>
          </w:p>
          <w:p w14:paraId="1F82DEE2">
            <w:pPr>
              <w:pStyle w:val="9"/>
              <w:snapToGrid w:val="0"/>
              <w:spacing w:before="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4 </w:t>
            </w:r>
          </w:p>
        </w:tc>
        <w:tc>
          <w:tcPr>
            <w:tcW w:w="2509" w:type="dxa"/>
            <w:vAlign w:val="center"/>
          </w:tcPr>
          <w:p w14:paraId="7AAD401E">
            <w:pPr>
              <w:pStyle w:val="9"/>
              <w:snapToGrid w:val="0"/>
              <w:spacing w:before="10"/>
              <w:ind w:left="0"/>
              <w:jc w:val="left"/>
              <w:rPr>
                <w:rFonts w:hint="eastAsia" w:asciiTheme="minorEastAsia" w:hAnsiTheme="minorEastAsia" w:eastAsiaTheme="minorEastAsia" w:cstheme="minorEastAsia"/>
                <w:sz w:val="24"/>
                <w:szCs w:val="24"/>
                <w:lang w:eastAsia="zh-CN"/>
              </w:rPr>
            </w:pPr>
          </w:p>
          <w:p w14:paraId="6381ABB1">
            <w:pPr>
              <w:pStyle w:val="9"/>
              <w:snapToGrid w:val="0"/>
              <w:spacing w:before="0" w:line="285" w:lineRule="auto"/>
              <w:ind w:right="-15"/>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多普勒超声在儿童肝移植术后肝动脉狭窄诊断中的应用研究 </w:t>
            </w:r>
          </w:p>
        </w:tc>
        <w:tc>
          <w:tcPr>
            <w:tcW w:w="1440" w:type="dxa"/>
            <w:vAlign w:val="center"/>
          </w:tcPr>
          <w:p w14:paraId="00A49B9E">
            <w:pPr>
              <w:pStyle w:val="9"/>
              <w:snapToGrid w:val="0"/>
              <w:spacing w:before="10"/>
              <w:ind w:left="0"/>
              <w:jc w:val="left"/>
              <w:rPr>
                <w:rFonts w:hint="eastAsia" w:asciiTheme="minorEastAsia" w:hAnsiTheme="minorEastAsia" w:eastAsiaTheme="minorEastAsia" w:cstheme="minorEastAsia"/>
                <w:sz w:val="24"/>
                <w:szCs w:val="24"/>
                <w:lang w:eastAsia="zh-CN"/>
              </w:rPr>
            </w:pPr>
          </w:p>
          <w:p w14:paraId="45F2A89B">
            <w:pPr>
              <w:pStyle w:val="9"/>
              <w:snapToGrid w:val="0"/>
              <w:spacing w:before="0" w:line="285" w:lineRule="auto"/>
              <w:ind w:left="512" w:right="-15" w:hanging="507"/>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临床小儿外科杂志 </w:t>
            </w:r>
          </w:p>
        </w:tc>
        <w:tc>
          <w:tcPr>
            <w:tcW w:w="1590" w:type="dxa"/>
            <w:vAlign w:val="center"/>
          </w:tcPr>
          <w:p w14:paraId="093B2299">
            <w:pPr>
              <w:pStyle w:val="9"/>
              <w:snapToGrid w:val="0"/>
              <w:spacing w:before="10"/>
              <w:ind w:left="0"/>
              <w:jc w:val="center"/>
              <w:rPr>
                <w:rFonts w:hint="eastAsia" w:asciiTheme="minorEastAsia" w:hAnsiTheme="minorEastAsia" w:eastAsiaTheme="minorEastAsia" w:cstheme="minorEastAsia"/>
                <w:sz w:val="24"/>
                <w:szCs w:val="24"/>
              </w:rPr>
            </w:pPr>
          </w:p>
          <w:p w14:paraId="3CAAEFD2">
            <w:pPr>
              <w:pStyle w:val="9"/>
              <w:snapToGrid w:val="0"/>
              <w:spacing w:before="0"/>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22（5）</w:t>
            </w:r>
          </w:p>
          <w:p w14:paraId="04BF1386">
            <w:pPr>
              <w:pStyle w:val="9"/>
              <w:snapToGrid w:val="0"/>
              <w:spacing w:before="48"/>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454-459 </w:t>
            </w:r>
          </w:p>
        </w:tc>
        <w:tc>
          <w:tcPr>
            <w:tcW w:w="1731" w:type="dxa"/>
            <w:vAlign w:val="center"/>
          </w:tcPr>
          <w:p w14:paraId="315CB30E">
            <w:pPr>
              <w:pStyle w:val="9"/>
              <w:snapToGrid w:val="0"/>
              <w:spacing w:before="27" w:line="285" w:lineRule="auto"/>
              <w:ind w:left="94" w:right="78"/>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李文凤；陈文 娟；周梦洁；姚桃月；黄婷；刘</w:t>
            </w:r>
          </w:p>
          <w:p w14:paraId="4C4DDC7A">
            <w:pPr>
              <w:pStyle w:val="9"/>
              <w:snapToGrid w:val="0"/>
              <w:spacing w:before="0" w:line="252" w:lineRule="exact"/>
              <w:ind w:left="91" w:right="7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金桥 </w:t>
            </w:r>
          </w:p>
        </w:tc>
        <w:tc>
          <w:tcPr>
            <w:tcW w:w="513" w:type="dxa"/>
            <w:vAlign w:val="center"/>
          </w:tcPr>
          <w:p w14:paraId="62101D98">
            <w:pPr>
              <w:pStyle w:val="9"/>
              <w:snapToGrid w:val="0"/>
              <w:spacing w:before="10"/>
              <w:ind w:left="0"/>
              <w:jc w:val="center"/>
              <w:rPr>
                <w:rFonts w:hint="eastAsia" w:asciiTheme="minorEastAsia" w:hAnsiTheme="minorEastAsia" w:eastAsiaTheme="minorEastAsia" w:cstheme="minorEastAsia"/>
                <w:sz w:val="24"/>
                <w:szCs w:val="24"/>
              </w:rPr>
            </w:pPr>
          </w:p>
          <w:p w14:paraId="1F4C31ED">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李文凤 </w:t>
            </w:r>
          </w:p>
        </w:tc>
        <w:tc>
          <w:tcPr>
            <w:tcW w:w="838" w:type="dxa"/>
            <w:vAlign w:val="center"/>
          </w:tcPr>
          <w:p w14:paraId="4924258B">
            <w:pPr>
              <w:pStyle w:val="9"/>
              <w:snapToGrid w:val="0"/>
              <w:spacing w:before="10"/>
              <w:ind w:left="0"/>
              <w:jc w:val="center"/>
              <w:rPr>
                <w:rFonts w:hint="eastAsia" w:asciiTheme="minorEastAsia" w:hAnsiTheme="minorEastAsia" w:eastAsiaTheme="minorEastAsia" w:cstheme="minorEastAsia"/>
                <w:sz w:val="24"/>
                <w:szCs w:val="24"/>
              </w:rPr>
            </w:pPr>
          </w:p>
          <w:p w14:paraId="0AC1142D">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刘金桥 </w:t>
            </w:r>
          </w:p>
        </w:tc>
        <w:tc>
          <w:tcPr>
            <w:tcW w:w="1048" w:type="dxa"/>
            <w:vAlign w:val="center"/>
          </w:tcPr>
          <w:p w14:paraId="2C2FAB2F">
            <w:pPr>
              <w:pStyle w:val="9"/>
              <w:snapToGrid w:val="0"/>
              <w:spacing w:before="0"/>
              <w:ind w:left="0"/>
              <w:jc w:val="right"/>
              <w:rPr>
                <w:rFonts w:hint="eastAsia" w:asciiTheme="minorEastAsia" w:hAnsiTheme="minorEastAsia" w:eastAsiaTheme="minorEastAsia" w:cstheme="minorEastAsia"/>
                <w:sz w:val="24"/>
                <w:szCs w:val="24"/>
              </w:rPr>
            </w:pPr>
          </w:p>
          <w:p w14:paraId="3BC703B0">
            <w:pPr>
              <w:pStyle w:val="9"/>
              <w:snapToGrid w:val="0"/>
              <w:spacing w:before="8"/>
              <w:ind w:left="0"/>
              <w:jc w:val="right"/>
              <w:rPr>
                <w:rFonts w:hint="eastAsia" w:asciiTheme="minorEastAsia" w:hAnsiTheme="minorEastAsia" w:eastAsiaTheme="minorEastAsia" w:cstheme="minorEastAsia"/>
                <w:sz w:val="24"/>
                <w:szCs w:val="24"/>
              </w:rPr>
            </w:pPr>
          </w:p>
          <w:p w14:paraId="5CE55A11">
            <w:pPr>
              <w:pStyle w:val="9"/>
              <w:snapToGrid w:val="0"/>
              <w:spacing w:before="1"/>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0 </w:t>
            </w:r>
          </w:p>
        </w:tc>
        <w:tc>
          <w:tcPr>
            <w:tcW w:w="588" w:type="dxa"/>
            <w:vAlign w:val="center"/>
          </w:tcPr>
          <w:p w14:paraId="65BD23ED">
            <w:pPr>
              <w:pStyle w:val="9"/>
              <w:snapToGrid w:val="0"/>
              <w:spacing w:before="0"/>
              <w:ind w:left="0"/>
              <w:jc w:val="right"/>
              <w:rPr>
                <w:rFonts w:hint="eastAsia" w:asciiTheme="minorEastAsia" w:hAnsiTheme="minorEastAsia" w:eastAsiaTheme="minorEastAsia" w:cstheme="minorEastAsia"/>
                <w:sz w:val="24"/>
                <w:szCs w:val="24"/>
              </w:rPr>
            </w:pPr>
          </w:p>
          <w:p w14:paraId="24182E90">
            <w:pPr>
              <w:pStyle w:val="9"/>
              <w:snapToGrid w:val="0"/>
              <w:spacing w:before="8"/>
              <w:ind w:left="0"/>
              <w:jc w:val="right"/>
              <w:rPr>
                <w:rFonts w:hint="eastAsia" w:asciiTheme="minorEastAsia" w:hAnsiTheme="minorEastAsia" w:eastAsiaTheme="minorEastAsia" w:cstheme="minorEastAsia"/>
                <w:sz w:val="24"/>
                <w:szCs w:val="24"/>
              </w:rPr>
            </w:pPr>
          </w:p>
          <w:p w14:paraId="4EBF20A1">
            <w:pPr>
              <w:pStyle w:val="9"/>
              <w:snapToGrid w:val="0"/>
              <w:spacing w:before="1"/>
              <w:ind w:left="38" w:right="2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w:t>
            </w:r>
          </w:p>
        </w:tc>
      </w:tr>
      <w:tr w14:paraId="4D2E1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44C449A2">
            <w:pPr>
              <w:pStyle w:val="9"/>
              <w:snapToGrid w:val="0"/>
              <w:spacing w:before="0"/>
              <w:ind w:left="0"/>
              <w:jc w:val="center"/>
              <w:rPr>
                <w:rFonts w:hint="eastAsia" w:asciiTheme="minorEastAsia" w:hAnsiTheme="minorEastAsia" w:eastAsiaTheme="minorEastAsia" w:cstheme="minorEastAsia"/>
                <w:sz w:val="24"/>
                <w:szCs w:val="24"/>
              </w:rPr>
            </w:pPr>
          </w:p>
          <w:p w14:paraId="3949AED5">
            <w:pPr>
              <w:pStyle w:val="9"/>
              <w:snapToGrid w:val="0"/>
              <w:spacing w:before="0"/>
              <w:ind w:left="0"/>
              <w:jc w:val="center"/>
              <w:rPr>
                <w:rFonts w:hint="eastAsia" w:asciiTheme="minorEastAsia" w:hAnsiTheme="minorEastAsia" w:eastAsiaTheme="minorEastAsia" w:cstheme="minorEastAsia"/>
                <w:sz w:val="24"/>
                <w:szCs w:val="24"/>
              </w:rPr>
            </w:pPr>
          </w:p>
          <w:p w14:paraId="5AC4F932">
            <w:pPr>
              <w:pStyle w:val="9"/>
              <w:snapToGrid w:val="0"/>
              <w:spacing w:before="0"/>
              <w:ind w:left="0"/>
              <w:jc w:val="center"/>
              <w:rPr>
                <w:rFonts w:hint="eastAsia" w:asciiTheme="minorEastAsia" w:hAnsiTheme="minorEastAsia" w:eastAsiaTheme="minorEastAsia" w:cstheme="minorEastAsia"/>
                <w:sz w:val="24"/>
                <w:szCs w:val="24"/>
              </w:rPr>
            </w:pPr>
          </w:p>
          <w:p w14:paraId="5198C882">
            <w:pPr>
              <w:pStyle w:val="9"/>
              <w:snapToGrid w:val="0"/>
              <w:spacing w:before="17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w:t>
            </w:r>
          </w:p>
        </w:tc>
        <w:tc>
          <w:tcPr>
            <w:tcW w:w="2509" w:type="dxa"/>
            <w:vAlign w:val="center"/>
          </w:tcPr>
          <w:p w14:paraId="6D50F8CB">
            <w:pPr>
              <w:pStyle w:val="9"/>
              <w:snapToGrid w:val="0"/>
              <w:spacing w:before="10"/>
              <w:ind w:left="0"/>
              <w:jc w:val="left"/>
              <w:rPr>
                <w:rFonts w:hint="eastAsia" w:asciiTheme="minorEastAsia" w:hAnsiTheme="minorEastAsia" w:eastAsiaTheme="minorEastAsia" w:cstheme="minorEastAsia"/>
                <w:sz w:val="24"/>
                <w:szCs w:val="24"/>
              </w:rPr>
            </w:pPr>
          </w:p>
          <w:p w14:paraId="56656E38">
            <w:pPr>
              <w:pStyle w:val="9"/>
              <w:snapToGrid w:val="0"/>
              <w:spacing w:before="0" w:line="285" w:lineRule="auto"/>
              <w:ind w:right="-1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Long Non-Coding RNA CRNDE Regulate s Angiogenesis in Hepatoblastoma b y Targeting the MiR- 203/VEGFA Axi s (Publication with Expression of Concern) </w:t>
            </w:r>
          </w:p>
        </w:tc>
        <w:tc>
          <w:tcPr>
            <w:tcW w:w="1440" w:type="dxa"/>
            <w:vAlign w:val="center"/>
          </w:tcPr>
          <w:p w14:paraId="0C423888">
            <w:pPr>
              <w:pStyle w:val="9"/>
              <w:snapToGrid w:val="0"/>
              <w:spacing w:before="0"/>
              <w:ind w:left="0"/>
              <w:jc w:val="left"/>
              <w:rPr>
                <w:rFonts w:hint="eastAsia" w:asciiTheme="minorEastAsia" w:hAnsiTheme="minorEastAsia" w:eastAsiaTheme="minorEastAsia" w:cstheme="minorEastAsia"/>
                <w:sz w:val="24"/>
                <w:szCs w:val="24"/>
              </w:rPr>
            </w:pPr>
          </w:p>
          <w:p w14:paraId="637F793E">
            <w:pPr>
              <w:pStyle w:val="9"/>
              <w:snapToGrid w:val="0"/>
              <w:spacing w:before="0"/>
              <w:ind w:left="0"/>
              <w:jc w:val="left"/>
              <w:rPr>
                <w:rFonts w:hint="eastAsia" w:asciiTheme="minorEastAsia" w:hAnsiTheme="minorEastAsia" w:eastAsiaTheme="minorEastAsia" w:cstheme="minorEastAsia"/>
                <w:sz w:val="24"/>
                <w:szCs w:val="24"/>
              </w:rPr>
            </w:pPr>
          </w:p>
          <w:p w14:paraId="2C5B3670">
            <w:pPr>
              <w:pStyle w:val="9"/>
              <w:snapToGrid w:val="0"/>
              <w:spacing w:before="0"/>
              <w:ind w:left="0"/>
              <w:jc w:val="left"/>
              <w:rPr>
                <w:rFonts w:hint="eastAsia" w:asciiTheme="minorEastAsia" w:hAnsiTheme="minorEastAsia" w:eastAsiaTheme="minorEastAsia" w:cstheme="minorEastAsia"/>
                <w:sz w:val="24"/>
                <w:szCs w:val="24"/>
              </w:rPr>
            </w:pPr>
          </w:p>
          <w:p w14:paraId="42442447">
            <w:pPr>
              <w:pStyle w:val="9"/>
              <w:snapToGrid w:val="0"/>
              <w:spacing w:before="170"/>
              <w:ind w:right="-1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PATHOBIOLOGY </w:t>
            </w:r>
          </w:p>
        </w:tc>
        <w:tc>
          <w:tcPr>
            <w:tcW w:w="1590" w:type="dxa"/>
            <w:vAlign w:val="center"/>
          </w:tcPr>
          <w:p w14:paraId="4B309D78">
            <w:pPr>
              <w:pStyle w:val="9"/>
              <w:snapToGrid w:val="0"/>
              <w:spacing w:before="0"/>
              <w:ind w:left="0"/>
              <w:jc w:val="center"/>
              <w:rPr>
                <w:rFonts w:hint="eastAsia" w:asciiTheme="minorEastAsia" w:hAnsiTheme="minorEastAsia" w:eastAsiaTheme="minorEastAsia" w:cstheme="minorEastAsia"/>
                <w:sz w:val="24"/>
                <w:szCs w:val="24"/>
              </w:rPr>
            </w:pPr>
          </w:p>
          <w:p w14:paraId="2315F118">
            <w:pPr>
              <w:pStyle w:val="9"/>
              <w:snapToGrid w:val="0"/>
              <w:spacing w:before="0"/>
              <w:ind w:left="0"/>
              <w:jc w:val="center"/>
              <w:rPr>
                <w:rFonts w:hint="eastAsia" w:asciiTheme="minorEastAsia" w:hAnsiTheme="minorEastAsia" w:eastAsiaTheme="minorEastAsia" w:cstheme="minorEastAsia"/>
                <w:sz w:val="24"/>
                <w:szCs w:val="24"/>
              </w:rPr>
            </w:pPr>
          </w:p>
          <w:p w14:paraId="1BCED9CC">
            <w:pPr>
              <w:pStyle w:val="9"/>
              <w:snapToGrid w:val="0"/>
              <w:spacing w:before="5"/>
              <w:ind w:left="0"/>
              <w:jc w:val="center"/>
              <w:rPr>
                <w:rFonts w:hint="eastAsia" w:asciiTheme="minorEastAsia" w:hAnsiTheme="minorEastAsia" w:eastAsiaTheme="minorEastAsia" w:cstheme="minorEastAsia"/>
                <w:sz w:val="24"/>
                <w:szCs w:val="24"/>
              </w:rPr>
            </w:pPr>
          </w:p>
          <w:p w14:paraId="698623CD">
            <w:pPr>
              <w:pStyle w:val="9"/>
              <w:snapToGrid w:val="0"/>
              <w:spacing w:before="0"/>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87（3）</w:t>
            </w:r>
          </w:p>
          <w:p w14:paraId="5A184E41">
            <w:pPr>
              <w:pStyle w:val="9"/>
              <w:snapToGrid w:val="0"/>
              <w:spacing w:before="48"/>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161-170 </w:t>
            </w:r>
          </w:p>
        </w:tc>
        <w:tc>
          <w:tcPr>
            <w:tcW w:w="1731" w:type="dxa"/>
            <w:vAlign w:val="center"/>
          </w:tcPr>
          <w:p w14:paraId="717F0B32">
            <w:pPr>
              <w:pStyle w:val="9"/>
              <w:snapToGrid w:val="0"/>
              <w:spacing w:before="27" w:line="285" w:lineRule="auto"/>
              <w:ind w:left="94" w:right="78"/>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陈立健；袁妙 贤；季春宜；张雁冰；彭宇明； 张甜；高红强； 盛新仪；刘朝 阳；谢惟心；尹</w:t>
            </w:r>
          </w:p>
          <w:p w14:paraId="31DD7979">
            <w:pPr>
              <w:pStyle w:val="9"/>
              <w:snapToGrid w:val="0"/>
              <w:spacing w:before="0" w:line="250" w:lineRule="exact"/>
              <w:ind w:left="91" w:right="7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强 </w:t>
            </w:r>
          </w:p>
        </w:tc>
        <w:tc>
          <w:tcPr>
            <w:tcW w:w="513" w:type="dxa"/>
            <w:vAlign w:val="center"/>
          </w:tcPr>
          <w:p w14:paraId="1889D79F">
            <w:pPr>
              <w:pStyle w:val="9"/>
              <w:snapToGrid w:val="0"/>
              <w:spacing w:before="0"/>
              <w:ind w:left="0"/>
              <w:jc w:val="center"/>
              <w:rPr>
                <w:rFonts w:hint="eastAsia" w:asciiTheme="minorEastAsia" w:hAnsiTheme="minorEastAsia" w:eastAsiaTheme="minorEastAsia" w:cstheme="minorEastAsia"/>
                <w:sz w:val="24"/>
                <w:szCs w:val="24"/>
              </w:rPr>
            </w:pPr>
          </w:p>
          <w:p w14:paraId="7B21BF3B">
            <w:pPr>
              <w:pStyle w:val="9"/>
              <w:snapToGrid w:val="0"/>
              <w:spacing w:before="0"/>
              <w:ind w:left="0"/>
              <w:jc w:val="center"/>
              <w:rPr>
                <w:rFonts w:hint="eastAsia" w:asciiTheme="minorEastAsia" w:hAnsiTheme="minorEastAsia" w:eastAsiaTheme="minorEastAsia" w:cstheme="minorEastAsia"/>
                <w:sz w:val="24"/>
                <w:szCs w:val="24"/>
              </w:rPr>
            </w:pPr>
          </w:p>
          <w:p w14:paraId="58B23DC8">
            <w:pPr>
              <w:pStyle w:val="9"/>
              <w:snapToGrid w:val="0"/>
              <w:spacing w:before="5"/>
              <w:ind w:left="0"/>
              <w:jc w:val="center"/>
              <w:rPr>
                <w:rFonts w:hint="eastAsia" w:asciiTheme="minorEastAsia" w:hAnsiTheme="minorEastAsia" w:eastAsiaTheme="minorEastAsia" w:cstheme="minorEastAsia"/>
                <w:sz w:val="24"/>
                <w:szCs w:val="24"/>
              </w:rPr>
            </w:pPr>
          </w:p>
          <w:p w14:paraId="48F90B88">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陈立健 </w:t>
            </w:r>
          </w:p>
        </w:tc>
        <w:tc>
          <w:tcPr>
            <w:tcW w:w="838" w:type="dxa"/>
            <w:vAlign w:val="center"/>
          </w:tcPr>
          <w:p w14:paraId="153C2D23">
            <w:pPr>
              <w:pStyle w:val="9"/>
              <w:snapToGrid w:val="0"/>
              <w:spacing w:before="0"/>
              <w:ind w:left="0"/>
              <w:jc w:val="center"/>
              <w:rPr>
                <w:rFonts w:hint="eastAsia" w:asciiTheme="minorEastAsia" w:hAnsiTheme="minorEastAsia" w:eastAsiaTheme="minorEastAsia" w:cstheme="minorEastAsia"/>
                <w:sz w:val="24"/>
                <w:szCs w:val="24"/>
              </w:rPr>
            </w:pPr>
          </w:p>
          <w:p w14:paraId="409C4B31">
            <w:pPr>
              <w:pStyle w:val="9"/>
              <w:snapToGrid w:val="0"/>
              <w:spacing w:before="0"/>
              <w:ind w:left="0"/>
              <w:jc w:val="center"/>
              <w:rPr>
                <w:rFonts w:hint="eastAsia" w:asciiTheme="minorEastAsia" w:hAnsiTheme="minorEastAsia" w:eastAsiaTheme="minorEastAsia" w:cstheme="minorEastAsia"/>
                <w:sz w:val="24"/>
                <w:szCs w:val="24"/>
              </w:rPr>
            </w:pPr>
          </w:p>
          <w:p w14:paraId="46FD6879">
            <w:pPr>
              <w:pStyle w:val="9"/>
              <w:snapToGrid w:val="0"/>
              <w:spacing w:before="5"/>
              <w:ind w:left="0"/>
              <w:jc w:val="center"/>
              <w:rPr>
                <w:rFonts w:hint="eastAsia" w:asciiTheme="minorEastAsia" w:hAnsiTheme="minorEastAsia" w:eastAsiaTheme="minorEastAsia" w:cstheme="minorEastAsia"/>
                <w:sz w:val="24"/>
                <w:szCs w:val="24"/>
              </w:rPr>
            </w:pPr>
          </w:p>
          <w:p w14:paraId="029DC35A">
            <w:pPr>
              <w:pStyle w:val="9"/>
              <w:snapToGrid w:val="0"/>
              <w:spacing w:before="0" w:line="285" w:lineRule="auto"/>
              <w:ind w:right="-15" w:firstLine="10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尹强 </w:t>
            </w:r>
          </w:p>
        </w:tc>
        <w:tc>
          <w:tcPr>
            <w:tcW w:w="1048" w:type="dxa"/>
            <w:vAlign w:val="center"/>
          </w:tcPr>
          <w:p w14:paraId="795BFB8E">
            <w:pPr>
              <w:pStyle w:val="9"/>
              <w:snapToGrid w:val="0"/>
              <w:spacing w:before="0"/>
              <w:ind w:left="0"/>
              <w:jc w:val="right"/>
              <w:rPr>
                <w:rFonts w:hint="eastAsia" w:asciiTheme="minorEastAsia" w:hAnsiTheme="minorEastAsia" w:eastAsiaTheme="minorEastAsia" w:cstheme="minorEastAsia"/>
                <w:sz w:val="24"/>
                <w:szCs w:val="24"/>
              </w:rPr>
            </w:pPr>
          </w:p>
          <w:p w14:paraId="58CE68B4">
            <w:pPr>
              <w:pStyle w:val="9"/>
              <w:snapToGrid w:val="0"/>
              <w:spacing w:before="0"/>
              <w:ind w:left="0"/>
              <w:jc w:val="right"/>
              <w:rPr>
                <w:rFonts w:hint="eastAsia" w:asciiTheme="minorEastAsia" w:hAnsiTheme="minorEastAsia" w:eastAsiaTheme="minorEastAsia" w:cstheme="minorEastAsia"/>
                <w:sz w:val="24"/>
                <w:szCs w:val="24"/>
              </w:rPr>
            </w:pPr>
          </w:p>
          <w:p w14:paraId="0193A460">
            <w:pPr>
              <w:pStyle w:val="9"/>
              <w:snapToGrid w:val="0"/>
              <w:spacing w:before="0"/>
              <w:ind w:left="0"/>
              <w:jc w:val="right"/>
              <w:rPr>
                <w:rFonts w:hint="eastAsia" w:asciiTheme="minorEastAsia" w:hAnsiTheme="minorEastAsia" w:eastAsiaTheme="minorEastAsia" w:cstheme="minorEastAsia"/>
                <w:sz w:val="24"/>
                <w:szCs w:val="24"/>
              </w:rPr>
            </w:pPr>
          </w:p>
          <w:p w14:paraId="1815A855">
            <w:pPr>
              <w:pStyle w:val="9"/>
              <w:snapToGrid w:val="0"/>
              <w:spacing w:before="170"/>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4.342 </w:t>
            </w:r>
          </w:p>
        </w:tc>
        <w:tc>
          <w:tcPr>
            <w:tcW w:w="588" w:type="dxa"/>
            <w:vAlign w:val="center"/>
          </w:tcPr>
          <w:p w14:paraId="11E773DD">
            <w:pPr>
              <w:pStyle w:val="9"/>
              <w:snapToGrid w:val="0"/>
              <w:spacing w:before="0"/>
              <w:ind w:left="0"/>
              <w:jc w:val="right"/>
              <w:rPr>
                <w:rFonts w:hint="eastAsia" w:asciiTheme="minorEastAsia" w:hAnsiTheme="minorEastAsia" w:eastAsiaTheme="minorEastAsia" w:cstheme="minorEastAsia"/>
                <w:sz w:val="24"/>
                <w:szCs w:val="24"/>
              </w:rPr>
            </w:pPr>
          </w:p>
          <w:p w14:paraId="77549FFD">
            <w:pPr>
              <w:pStyle w:val="9"/>
              <w:snapToGrid w:val="0"/>
              <w:spacing w:before="0"/>
              <w:ind w:left="0"/>
              <w:jc w:val="right"/>
              <w:rPr>
                <w:rFonts w:hint="eastAsia" w:asciiTheme="minorEastAsia" w:hAnsiTheme="minorEastAsia" w:eastAsiaTheme="minorEastAsia" w:cstheme="minorEastAsia"/>
                <w:sz w:val="24"/>
                <w:szCs w:val="24"/>
              </w:rPr>
            </w:pPr>
          </w:p>
          <w:p w14:paraId="048AA609">
            <w:pPr>
              <w:pStyle w:val="9"/>
              <w:snapToGrid w:val="0"/>
              <w:spacing w:before="0"/>
              <w:ind w:left="0"/>
              <w:jc w:val="right"/>
              <w:rPr>
                <w:rFonts w:hint="eastAsia" w:asciiTheme="minorEastAsia" w:hAnsiTheme="minorEastAsia" w:eastAsiaTheme="minorEastAsia" w:cstheme="minorEastAsia"/>
                <w:sz w:val="24"/>
                <w:szCs w:val="24"/>
              </w:rPr>
            </w:pPr>
          </w:p>
          <w:p w14:paraId="56105F8A">
            <w:pPr>
              <w:pStyle w:val="9"/>
              <w:snapToGrid w:val="0"/>
              <w:spacing w:before="170"/>
              <w:ind w:right="-1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15 </w:t>
            </w:r>
          </w:p>
        </w:tc>
      </w:tr>
      <w:tr w14:paraId="6467B9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7CC648D6">
            <w:pPr>
              <w:pStyle w:val="9"/>
              <w:snapToGrid w:val="0"/>
              <w:spacing w:before="10"/>
              <w:ind w:left="0"/>
              <w:jc w:val="center"/>
              <w:rPr>
                <w:rFonts w:hint="eastAsia" w:asciiTheme="minorEastAsia" w:hAnsiTheme="minorEastAsia" w:eastAsiaTheme="minorEastAsia" w:cstheme="minorEastAsia"/>
                <w:sz w:val="24"/>
                <w:szCs w:val="24"/>
              </w:rPr>
            </w:pPr>
          </w:p>
          <w:p w14:paraId="5DE5464E">
            <w:pPr>
              <w:pStyle w:val="9"/>
              <w:snapToGrid w:val="0"/>
              <w:spacing w:before="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6 </w:t>
            </w:r>
          </w:p>
        </w:tc>
        <w:tc>
          <w:tcPr>
            <w:tcW w:w="2509" w:type="dxa"/>
            <w:vAlign w:val="center"/>
          </w:tcPr>
          <w:p w14:paraId="3FC7153F">
            <w:pPr>
              <w:pStyle w:val="9"/>
              <w:snapToGrid w:val="0"/>
              <w:spacing w:before="27" w:line="285" w:lineRule="auto"/>
              <w:ind w:right="-26"/>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Network pharmacology-based analysi s of the role of tacrolimus in</w:t>
            </w:r>
            <w:r>
              <w:rPr>
                <w:rFonts w:hint="eastAsia" w:asciiTheme="minorEastAsia" w:hAnsiTheme="minorEastAsia" w:eastAsiaTheme="minorEastAsia" w:cstheme="minorEastAsia"/>
                <w:spacing w:val="43"/>
                <w:sz w:val="24"/>
                <w:szCs w:val="24"/>
              </w:rPr>
              <w:t xml:space="preserve"> </w:t>
            </w:r>
            <w:r>
              <w:rPr>
                <w:rFonts w:hint="eastAsia" w:asciiTheme="minorEastAsia" w:hAnsiTheme="minorEastAsia" w:eastAsiaTheme="minorEastAsia" w:cstheme="minorEastAsia"/>
                <w:sz w:val="24"/>
                <w:szCs w:val="24"/>
              </w:rPr>
              <w:t>liv</w:t>
            </w:r>
          </w:p>
          <w:p w14:paraId="5386F5D7">
            <w:pPr>
              <w:pStyle w:val="9"/>
              <w:snapToGrid w:val="0"/>
              <w:spacing w:before="0" w:line="253"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er transplantation </w:t>
            </w:r>
          </w:p>
        </w:tc>
        <w:tc>
          <w:tcPr>
            <w:tcW w:w="1440" w:type="dxa"/>
            <w:vAlign w:val="center"/>
          </w:tcPr>
          <w:p w14:paraId="7B921EC8">
            <w:pPr>
              <w:pStyle w:val="9"/>
              <w:snapToGrid w:val="0"/>
              <w:spacing w:before="27" w:line="285" w:lineRule="auto"/>
              <w:ind w:left="56" w:right="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SAUDI JOURNAL</w:t>
            </w:r>
            <w:r>
              <w:rPr>
                <w:rFonts w:hint="eastAsia" w:asciiTheme="minorEastAsia" w:hAnsiTheme="minorEastAsia" w:eastAsiaTheme="minorEastAsia" w:cstheme="minorEastAsia"/>
                <w:w w:val="101"/>
                <w:sz w:val="24"/>
                <w:szCs w:val="24"/>
              </w:rPr>
              <w:t xml:space="preserve"> </w:t>
            </w:r>
            <w:r>
              <w:rPr>
                <w:rFonts w:hint="eastAsia" w:asciiTheme="minorEastAsia" w:hAnsiTheme="minorEastAsia" w:eastAsiaTheme="minorEastAsia" w:cstheme="minorEastAsia"/>
                <w:sz w:val="24"/>
                <w:szCs w:val="24"/>
              </w:rPr>
              <w:t>OF BIOLOGICAL</w:t>
            </w:r>
          </w:p>
          <w:p w14:paraId="2FB3CB27">
            <w:pPr>
              <w:pStyle w:val="9"/>
              <w:snapToGrid w:val="0"/>
              <w:spacing w:before="0" w:line="253" w:lineRule="exact"/>
              <w:ind w:left="53" w:right="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SCIENCES </w:t>
            </w:r>
          </w:p>
        </w:tc>
        <w:tc>
          <w:tcPr>
            <w:tcW w:w="1590" w:type="dxa"/>
            <w:vAlign w:val="center"/>
          </w:tcPr>
          <w:p w14:paraId="1F85719C">
            <w:pPr>
              <w:pStyle w:val="9"/>
              <w:snapToGrid w:val="0"/>
              <w:spacing w:before="27"/>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28（3）</w:t>
            </w:r>
          </w:p>
          <w:p w14:paraId="5D642A5D">
            <w:pPr>
              <w:pStyle w:val="9"/>
              <w:snapToGrid w:val="0"/>
              <w:spacing w:before="47"/>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1569-</w:t>
            </w:r>
          </w:p>
          <w:p w14:paraId="66BA1091">
            <w:pPr>
              <w:pStyle w:val="9"/>
              <w:snapToGrid w:val="0"/>
              <w:spacing w:before="48" w:line="255" w:lineRule="exact"/>
              <w:ind w:left="208"/>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1575 </w:t>
            </w:r>
          </w:p>
        </w:tc>
        <w:tc>
          <w:tcPr>
            <w:tcW w:w="1731" w:type="dxa"/>
            <w:vAlign w:val="center"/>
          </w:tcPr>
          <w:p w14:paraId="0B1A8244">
            <w:pPr>
              <w:pStyle w:val="9"/>
              <w:snapToGrid w:val="0"/>
              <w:spacing w:before="27" w:line="285" w:lineRule="auto"/>
              <w:ind w:left="94" w:right="78" w:firstLine="101"/>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陈立健；彭宇明；季春宜；袁</w:t>
            </w:r>
          </w:p>
          <w:p w14:paraId="13041A49">
            <w:pPr>
              <w:pStyle w:val="9"/>
              <w:snapToGrid w:val="0"/>
              <w:spacing w:before="0" w:line="253" w:lineRule="exact"/>
              <w:ind w:left="19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妙贤；尹强 </w:t>
            </w:r>
          </w:p>
        </w:tc>
        <w:tc>
          <w:tcPr>
            <w:tcW w:w="513" w:type="dxa"/>
            <w:vAlign w:val="center"/>
          </w:tcPr>
          <w:p w14:paraId="1F71231C">
            <w:pPr>
              <w:pStyle w:val="9"/>
              <w:snapToGrid w:val="0"/>
              <w:spacing w:before="179"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陈立健 </w:t>
            </w:r>
          </w:p>
        </w:tc>
        <w:tc>
          <w:tcPr>
            <w:tcW w:w="838" w:type="dxa"/>
            <w:vAlign w:val="center"/>
          </w:tcPr>
          <w:p w14:paraId="525CB2AD">
            <w:pPr>
              <w:pStyle w:val="9"/>
              <w:snapToGrid w:val="0"/>
              <w:spacing w:before="179" w:line="285" w:lineRule="auto"/>
              <w:ind w:right="-15" w:firstLine="10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尹强 </w:t>
            </w:r>
          </w:p>
        </w:tc>
        <w:tc>
          <w:tcPr>
            <w:tcW w:w="1048" w:type="dxa"/>
            <w:vAlign w:val="center"/>
          </w:tcPr>
          <w:p w14:paraId="493F77F4">
            <w:pPr>
              <w:pStyle w:val="9"/>
              <w:snapToGrid w:val="0"/>
              <w:spacing w:before="10"/>
              <w:ind w:left="0"/>
              <w:jc w:val="right"/>
              <w:rPr>
                <w:rFonts w:hint="eastAsia" w:asciiTheme="minorEastAsia" w:hAnsiTheme="minorEastAsia" w:eastAsiaTheme="minorEastAsia" w:cstheme="minorEastAsia"/>
                <w:sz w:val="24"/>
                <w:szCs w:val="24"/>
              </w:rPr>
            </w:pPr>
          </w:p>
          <w:p w14:paraId="22E9B511">
            <w:pPr>
              <w:pStyle w:val="9"/>
              <w:snapToGrid w:val="0"/>
              <w:spacing w:before="0"/>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4.052 </w:t>
            </w:r>
          </w:p>
        </w:tc>
        <w:tc>
          <w:tcPr>
            <w:tcW w:w="588" w:type="dxa"/>
            <w:vAlign w:val="center"/>
          </w:tcPr>
          <w:p w14:paraId="7AD41674">
            <w:pPr>
              <w:pStyle w:val="9"/>
              <w:snapToGrid w:val="0"/>
              <w:spacing w:before="10"/>
              <w:ind w:left="0"/>
              <w:jc w:val="right"/>
              <w:rPr>
                <w:rFonts w:hint="eastAsia" w:asciiTheme="minorEastAsia" w:hAnsiTheme="minorEastAsia" w:eastAsiaTheme="minorEastAsia" w:cstheme="minorEastAsia"/>
                <w:sz w:val="24"/>
                <w:szCs w:val="24"/>
              </w:rPr>
            </w:pPr>
          </w:p>
          <w:p w14:paraId="356E52B5">
            <w:pPr>
              <w:pStyle w:val="9"/>
              <w:snapToGrid w:val="0"/>
              <w:spacing w:before="0"/>
              <w:ind w:left="38" w:right="2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3 </w:t>
            </w:r>
          </w:p>
        </w:tc>
      </w:tr>
      <w:tr w14:paraId="48E13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7A3AC1BC">
            <w:pPr>
              <w:pStyle w:val="9"/>
              <w:snapToGrid w:val="0"/>
              <w:spacing w:before="0"/>
              <w:ind w:left="0"/>
              <w:jc w:val="center"/>
              <w:rPr>
                <w:rFonts w:hint="eastAsia" w:asciiTheme="minorEastAsia" w:hAnsiTheme="minorEastAsia" w:eastAsiaTheme="minorEastAsia" w:cstheme="minorEastAsia"/>
                <w:sz w:val="24"/>
                <w:szCs w:val="24"/>
              </w:rPr>
            </w:pPr>
          </w:p>
          <w:p w14:paraId="3B27424F">
            <w:pPr>
              <w:pStyle w:val="9"/>
              <w:snapToGrid w:val="0"/>
              <w:spacing w:before="8"/>
              <w:ind w:left="0"/>
              <w:jc w:val="center"/>
              <w:rPr>
                <w:rFonts w:hint="eastAsia" w:asciiTheme="minorEastAsia" w:hAnsiTheme="minorEastAsia" w:eastAsiaTheme="minorEastAsia" w:cstheme="minorEastAsia"/>
                <w:sz w:val="24"/>
                <w:szCs w:val="24"/>
              </w:rPr>
            </w:pPr>
          </w:p>
          <w:p w14:paraId="6C2791A9">
            <w:pPr>
              <w:pStyle w:val="9"/>
              <w:snapToGrid w:val="0"/>
              <w:spacing w:before="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7 </w:t>
            </w:r>
          </w:p>
        </w:tc>
        <w:tc>
          <w:tcPr>
            <w:tcW w:w="2509" w:type="dxa"/>
            <w:vAlign w:val="center"/>
          </w:tcPr>
          <w:p w14:paraId="450BECBE">
            <w:pPr>
              <w:pStyle w:val="9"/>
              <w:snapToGrid w:val="0"/>
              <w:spacing w:before="179" w:line="285" w:lineRule="auto"/>
              <w:ind w:right="-1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lncRNA TUG1 regulates angiogenesis via the miR- 204-5p/JAK2/STAT3 axi s in hepatoblastoma </w:t>
            </w:r>
          </w:p>
        </w:tc>
        <w:tc>
          <w:tcPr>
            <w:tcW w:w="1440" w:type="dxa"/>
            <w:vAlign w:val="center"/>
          </w:tcPr>
          <w:p w14:paraId="758601AC">
            <w:pPr>
              <w:pStyle w:val="9"/>
              <w:snapToGrid w:val="0"/>
              <w:spacing w:before="179" w:line="285" w:lineRule="auto"/>
              <w:ind w:left="258" w:right="243"/>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MOLECULAR MEDICINE REPORTS </w:t>
            </w:r>
          </w:p>
        </w:tc>
        <w:tc>
          <w:tcPr>
            <w:tcW w:w="1590" w:type="dxa"/>
            <w:vAlign w:val="center"/>
          </w:tcPr>
          <w:p w14:paraId="30FB1CB8">
            <w:pPr>
              <w:pStyle w:val="9"/>
              <w:snapToGrid w:val="0"/>
              <w:spacing w:before="10"/>
              <w:ind w:left="0"/>
              <w:jc w:val="center"/>
              <w:rPr>
                <w:rFonts w:hint="eastAsia" w:asciiTheme="minorEastAsia" w:hAnsiTheme="minorEastAsia" w:eastAsiaTheme="minorEastAsia" w:cstheme="minorEastAsia"/>
                <w:sz w:val="24"/>
                <w:szCs w:val="24"/>
              </w:rPr>
            </w:pPr>
          </w:p>
          <w:p w14:paraId="2C8994CA">
            <w:pPr>
              <w:pStyle w:val="9"/>
              <w:snapToGrid w:val="0"/>
              <w:spacing w:before="0"/>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24（2）</w:t>
            </w:r>
          </w:p>
          <w:p w14:paraId="351DC9F9">
            <w:pPr>
              <w:pStyle w:val="9"/>
              <w:snapToGrid w:val="0"/>
              <w:spacing w:before="48"/>
              <w:ind w:left="42" w:right="29"/>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553 </w:t>
            </w:r>
          </w:p>
        </w:tc>
        <w:tc>
          <w:tcPr>
            <w:tcW w:w="1731" w:type="dxa"/>
            <w:vAlign w:val="center"/>
          </w:tcPr>
          <w:p w14:paraId="52DA1EF6">
            <w:pPr>
              <w:pStyle w:val="9"/>
              <w:snapToGrid w:val="0"/>
              <w:spacing w:before="27" w:line="285" w:lineRule="auto"/>
              <w:ind w:left="94" w:right="78"/>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袁妙贤；季春 宜；高红强；盛新仪；谢惟心；</w:t>
            </w:r>
          </w:p>
          <w:p w14:paraId="14E2A47A">
            <w:pPr>
              <w:pStyle w:val="9"/>
              <w:snapToGrid w:val="0"/>
              <w:spacing w:before="0" w:line="252" w:lineRule="exact"/>
              <w:ind w:left="91" w:right="78"/>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尹强 </w:t>
            </w:r>
          </w:p>
        </w:tc>
        <w:tc>
          <w:tcPr>
            <w:tcW w:w="513" w:type="dxa"/>
            <w:vAlign w:val="center"/>
          </w:tcPr>
          <w:p w14:paraId="55CC9F61">
            <w:pPr>
              <w:pStyle w:val="9"/>
              <w:snapToGrid w:val="0"/>
              <w:spacing w:before="10"/>
              <w:ind w:left="0"/>
              <w:jc w:val="center"/>
              <w:rPr>
                <w:rFonts w:hint="eastAsia" w:asciiTheme="minorEastAsia" w:hAnsiTheme="minorEastAsia" w:eastAsiaTheme="minorEastAsia" w:cstheme="minorEastAsia"/>
                <w:sz w:val="24"/>
                <w:szCs w:val="24"/>
              </w:rPr>
            </w:pPr>
          </w:p>
          <w:p w14:paraId="260B3BE2">
            <w:pPr>
              <w:pStyle w:val="9"/>
              <w:snapToGrid w:val="0"/>
              <w:spacing w:before="0"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袁妙贤 </w:t>
            </w:r>
          </w:p>
        </w:tc>
        <w:tc>
          <w:tcPr>
            <w:tcW w:w="838" w:type="dxa"/>
            <w:vAlign w:val="center"/>
          </w:tcPr>
          <w:p w14:paraId="1805194E">
            <w:pPr>
              <w:pStyle w:val="9"/>
              <w:snapToGrid w:val="0"/>
              <w:spacing w:before="10"/>
              <w:ind w:left="0"/>
              <w:jc w:val="center"/>
              <w:rPr>
                <w:rFonts w:hint="eastAsia" w:asciiTheme="minorEastAsia" w:hAnsiTheme="minorEastAsia" w:eastAsiaTheme="minorEastAsia" w:cstheme="minorEastAsia"/>
                <w:sz w:val="24"/>
                <w:szCs w:val="24"/>
              </w:rPr>
            </w:pPr>
          </w:p>
          <w:p w14:paraId="16A894C3">
            <w:pPr>
              <w:pStyle w:val="9"/>
              <w:snapToGrid w:val="0"/>
              <w:spacing w:before="0" w:line="285" w:lineRule="auto"/>
              <w:ind w:right="-15" w:firstLine="10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尹强 </w:t>
            </w:r>
          </w:p>
        </w:tc>
        <w:tc>
          <w:tcPr>
            <w:tcW w:w="1048" w:type="dxa"/>
            <w:vAlign w:val="center"/>
          </w:tcPr>
          <w:p w14:paraId="5C5FC4FF">
            <w:pPr>
              <w:pStyle w:val="9"/>
              <w:snapToGrid w:val="0"/>
              <w:spacing w:before="0"/>
              <w:ind w:left="0"/>
              <w:jc w:val="right"/>
              <w:rPr>
                <w:rFonts w:hint="eastAsia" w:asciiTheme="minorEastAsia" w:hAnsiTheme="minorEastAsia" w:eastAsiaTheme="minorEastAsia" w:cstheme="minorEastAsia"/>
                <w:sz w:val="24"/>
                <w:szCs w:val="24"/>
              </w:rPr>
            </w:pPr>
          </w:p>
          <w:p w14:paraId="61154167">
            <w:pPr>
              <w:pStyle w:val="9"/>
              <w:snapToGrid w:val="0"/>
              <w:spacing w:before="8"/>
              <w:ind w:left="0"/>
              <w:jc w:val="right"/>
              <w:rPr>
                <w:rFonts w:hint="eastAsia" w:asciiTheme="minorEastAsia" w:hAnsiTheme="minorEastAsia" w:eastAsiaTheme="minorEastAsia" w:cstheme="minorEastAsia"/>
                <w:sz w:val="24"/>
                <w:szCs w:val="24"/>
              </w:rPr>
            </w:pPr>
          </w:p>
          <w:p w14:paraId="077AF34C">
            <w:pPr>
              <w:pStyle w:val="9"/>
              <w:snapToGrid w:val="0"/>
              <w:spacing w:before="1"/>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3.423 </w:t>
            </w:r>
          </w:p>
        </w:tc>
        <w:tc>
          <w:tcPr>
            <w:tcW w:w="588" w:type="dxa"/>
            <w:vAlign w:val="center"/>
          </w:tcPr>
          <w:p w14:paraId="12D46D26">
            <w:pPr>
              <w:pStyle w:val="9"/>
              <w:snapToGrid w:val="0"/>
              <w:spacing w:before="0"/>
              <w:ind w:left="0"/>
              <w:jc w:val="right"/>
              <w:rPr>
                <w:rFonts w:hint="eastAsia" w:asciiTheme="minorEastAsia" w:hAnsiTheme="minorEastAsia" w:eastAsiaTheme="minorEastAsia" w:cstheme="minorEastAsia"/>
                <w:sz w:val="24"/>
                <w:szCs w:val="24"/>
              </w:rPr>
            </w:pPr>
          </w:p>
          <w:p w14:paraId="7A6C09AB">
            <w:pPr>
              <w:pStyle w:val="9"/>
              <w:snapToGrid w:val="0"/>
              <w:spacing w:before="8"/>
              <w:ind w:left="0"/>
              <w:jc w:val="right"/>
              <w:rPr>
                <w:rFonts w:hint="eastAsia" w:asciiTheme="minorEastAsia" w:hAnsiTheme="minorEastAsia" w:eastAsiaTheme="minorEastAsia" w:cstheme="minorEastAsia"/>
                <w:sz w:val="24"/>
                <w:szCs w:val="24"/>
              </w:rPr>
            </w:pPr>
          </w:p>
          <w:p w14:paraId="1DBBCE2C">
            <w:pPr>
              <w:pStyle w:val="9"/>
              <w:snapToGrid w:val="0"/>
              <w:spacing w:before="1"/>
              <w:ind w:right="-1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16 </w:t>
            </w:r>
          </w:p>
        </w:tc>
      </w:tr>
      <w:tr w14:paraId="2551A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039ED192">
            <w:pPr>
              <w:pStyle w:val="9"/>
              <w:snapToGrid w:val="0"/>
              <w:spacing w:before="0"/>
              <w:ind w:left="0"/>
              <w:jc w:val="center"/>
              <w:rPr>
                <w:rFonts w:hint="eastAsia" w:asciiTheme="minorEastAsia" w:hAnsiTheme="minorEastAsia" w:eastAsiaTheme="minorEastAsia" w:cstheme="minorEastAsia"/>
                <w:sz w:val="24"/>
                <w:szCs w:val="24"/>
              </w:rPr>
            </w:pPr>
          </w:p>
          <w:p w14:paraId="7EDA9358">
            <w:pPr>
              <w:pStyle w:val="9"/>
              <w:snapToGrid w:val="0"/>
              <w:spacing w:before="7"/>
              <w:ind w:left="0"/>
              <w:jc w:val="center"/>
              <w:rPr>
                <w:rFonts w:hint="eastAsia" w:asciiTheme="minorEastAsia" w:hAnsiTheme="minorEastAsia" w:eastAsiaTheme="minorEastAsia" w:cstheme="minorEastAsia"/>
                <w:sz w:val="24"/>
                <w:szCs w:val="24"/>
              </w:rPr>
            </w:pPr>
          </w:p>
          <w:p w14:paraId="225397D9">
            <w:pPr>
              <w:pStyle w:val="9"/>
              <w:snapToGrid w:val="0"/>
              <w:spacing w:before="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8 </w:t>
            </w:r>
          </w:p>
        </w:tc>
        <w:tc>
          <w:tcPr>
            <w:tcW w:w="2509" w:type="dxa"/>
            <w:vAlign w:val="center"/>
          </w:tcPr>
          <w:p w14:paraId="7BF5237D">
            <w:pPr>
              <w:pStyle w:val="9"/>
              <w:snapToGrid w:val="0"/>
              <w:spacing w:before="27" w:line="285" w:lineRule="auto"/>
              <w:ind w:right="-15"/>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CircFOXN2 alleviates glucocorticoi d- and tacrolimus-induced dyslipid emia by reducing FASN mRNA stabili ty by binding to PTBP1 during live</w:t>
            </w:r>
          </w:p>
          <w:p w14:paraId="065F7371">
            <w:pPr>
              <w:pStyle w:val="9"/>
              <w:snapToGrid w:val="0"/>
              <w:spacing w:before="0" w:line="251"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r transplantation </w:t>
            </w:r>
          </w:p>
        </w:tc>
        <w:tc>
          <w:tcPr>
            <w:tcW w:w="1440" w:type="dxa"/>
            <w:vAlign w:val="center"/>
          </w:tcPr>
          <w:p w14:paraId="16DC6170">
            <w:pPr>
              <w:pStyle w:val="9"/>
              <w:snapToGrid w:val="0"/>
              <w:spacing w:before="27" w:line="285" w:lineRule="auto"/>
              <w:ind w:left="157" w:right="141"/>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AMERICAN JOURNAL OF PHYSIOLOGY- CELL</w:t>
            </w:r>
          </w:p>
          <w:p w14:paraId="1F92BFAF">
            <w:pPr>
              <w:pStyle w:val="9"/>
              <w:snapToGrid w:val="0"/>
              <w:spacing w:before="0" w:line="251" w:lineRule="exact"/>
              <w:ind w:left="53" w:right="4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PHYSIOLOGY </w:t>
            </w:r>
          </w:p>
        </w:tc>
        <w:tc>
          <w:tcPr>
            <w:tcW w:w="1590" w:type="dxa"/>
            <w:vAlign w:val="center"/>
          </w:tcPr>
          <w:p w14:paraId="5BD066AD">
            <w:pPr>
              <w:pStyle w:val="9"/>
              <w:snapToGrid w:val="0"/>
              <w:spacing w:before="0"/>
              <w:ind w:left="0"/>
              <w:jc w:val="center"/>
              <w:rPr>
                <w:rFonts w:hint="eastAsia" w:asciiTheme="minorEastAsia" w:hAnsiTheme="minorEastAsia" w:eastAsiaTheme="minorEastAsia" w:cstheme="minorEastAsia"/>
                <w:sz w:val="24"/>
                <w:szCs w:val="24"/>
              </w:rPr>
            </w:pPr>
          </w:p>
          <w:p w14:paraId="64FFED56">
            <w:pPr>
              <w:pStyle w:val="9"/>
              <w:snapToGrid w:val="0"/>
              <w:spacing w:before="8"/>
              <w:ind w:left="0"/>
              <w:jc w:val="center"/>
              <w:rPr>
                <w:rFonts w:hint="eastAsia" w:asciiTheme="minorEastAsia" w:hAnsiTheme="minorEastAsia" w:eastAsiaTheme="minorEastAsia" w:cstheme="minorEastAsia"/>
                <w:sz w:val="24"/>
                <w:szCs w:val="24"/>
              </w:rPr>
            </w:pPr>
          </w:p>
          <w:p w14:paraId="4940EB10">
            <w:pPr>
              <w:pStyle w:val="9"/>
              <w:snapToGrid w:val="0"/>
              <w:spacing w:before="1" w:line="285" w:lineRule="auto"/>
              <w:ind w:right="-15" w:firstLine="10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325（3） C796-806 </w:t>
            </w:r>
          </w:p>
        </w:tc>
        <w:tc>
          <w:tcPr>
            <w:tcW w:w="1731" w:type="dxa"/>
            <w:vAlign w:val="center"/>
          </w:tcPr>
          <w:p w14:paraId="5A869117">
            <w:pPr>
              <w:pStyle w:val="9"/>
              <w:snapToGrid w:val="0"/>
              <w:spacing w:before="179" w:line="285" w:lineRule="auto"/>
              <w:ind w:left="94" w:right="78"/>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陈立健；杨鑫； 袁妙贤；季春 宜；彭宇明；尹强 </w:t>
            </w:r>
          </w:p>
        </w:tc>
        <w:tc>
          <w:tcPr>
            <w:tcW w:w="513" w:type="dxa"/>
            <w:vAlign w:val="center"/>
          </w:tcPr>
          <w:p w14:paraId="7778F5BF">
            <w:pPr>
              <w:pStyle w:val="9"/>
              <w:snapToGrid w:val="0"/>
              <w:spacing w:before="179" w:line="285" w:lineRule="auto"/>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陈立健； 杨 鑫 </w:t>
            </w:r>
          </w:p>
        </w:tc>
        <w:tc>
          <w:tcPr>
            <w:tcW w:w="838" w:type="dxa"/>
            <w:vAlign w:val="center"/>
          </w:tcPr>
          <w:p w14:paraId="76788AC8">
            <w:pPr>
              <w:pStyle w:val="9"/>
              <w:snapToGrid w:val="0"/>
              <w:spacing w:before="0"/>
              <w:ind w:left="0"/>
              <w:jc w:val="center"/>
              <w:rPr>
                <w:rFonts w:hint="eastAsia" w:asciiTheme="minorEastAsia" w:hAnsiTheme="minorEastAsia" w:eastAsiaTheme="minorEastAsia" w:cstheme="minorEastAsia"/>
                <w:sz w:val="24"/>
                <w:szCs w:val="24"/>
              </w:rPr>
            </w:pPr>
          </w:p>
          <w:p w14:paraId="0971182A">
            <w:pPr>
              <w:pStyle w:val="9"/>
              <w:snapToGrid w:val="0"/>
              <w:spacing w:before="8"/>
              <w:ind w:left="0"/>
              <w:jc w:val="center"/>
              <w:rPr>
                <w:rFonts w:hint="eastAsia" w:asciiTheme="minorEastAsia" w:hAnsiTheme="minorEastAsia" w:eastAsiaTheme="minorEastAsia" w:cstheme="minorEastAsia"/>
                <w:sz w:val="24"/>
                <w:szCs w:val="24"/>
              </w:rPr>
            </w:pPr>
          </w:p>
          <w:p w14:paraId="52B8C053">
            <w:pPr>
              <w:pStyle w:val="9"/>
              <w:snapToGrid w:val="0"/>
              <w:spacing w:before="1" w:line="285" w:lineRule="auto"/>
              <w:ind w:right="-15" w:firstLine="10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尹强 </w:t>
            </w:r>
          </w:p>
        </w:tc>
        <w:tc>
          <w:tcPr>
            <w:tcW w:w="1048" w:type="dxa"/>
            <w:vAlign w:val="center"/>
          </w:tcPr>
          <w:p w14:paraId="14B70B6B">
            <w:pPr>
              <w:pStyle w:val="9"/>
              <w:snapToGrid w:val="0"/>
              <w:spacing w:before="0"/>
              <w:ind w:left="0"/>
              <w:jc w:val="right"/>
              <w:rPr>
                <w:rFonts w:hint="eastAsia" w:asciiTheme="minorEastAsia" w:hAnsiTheme="minorEastAsia" w:eastAsiaTheme="minorEastAsia" w:cstheme="minorEastAsia"/>
                <w:sz w:val="24"/>
                <w:szCs w:val="24"/>
              </w:rPr>
            </w:pPr>
          </w:p>
          <w:p w14:paraId="4D3DC47D">
            <w:pPr>
              <w:pStyle w:val="9"/>
              <w:snapToGrid w:val="0"/>
              <w:spacing w:before="7"/>
              <w:ind w:left="0"/>
              <w:jc w:val="right"/>
              <w:rPr>
                <w:rFonts w:hint="eastAsia" w:asciiTheme="minorEastAsia" w:hAnsiTheme="minorEastAsia" w:eastAsiaTheme="minorEastAsia" w:cstheme="minorEastAsia"/>
                <w:sz w:val="24"/>
                <w:szCs w:val="24"/>
              </w:rPr>
            </w:pPr>
          </w:p>
          <w:p w14:paraId="55A7C73A">
            <w:pPr>
              <w:pStyle w:val="9"/>
              <w:snapToGrid w:val="0"/>
              <w:spacing w:before="0"/>
              <w:ind w:left="40" w:right="27"/>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5 </w:t>
            </w:r>
          </w:p>
        </w:tc>
        <w:tc>
          <w:tcPr>
            <w:tcW w:w="588" w:type="dxa"/>
            <w:vAlign w:val="center"/>
          </w:tcPr>
          <w:p w14:paraId="2092D16A">
            <w:pPr>
              <w:pStyle w:val="9"/>
              <w:snapToGrid w:val="0"/>
              <w:spacing w:before="0"/>
              <w:ind w:left="0"/>
              <w:jc w:val="right"/>
              <w:rPr>
                <w:rFonts w:hint="eastAsia" w:asciiTheme="minorEastAsia" w:hAnsiTheme="minorEastAsia" w:eastAsiaTheme="minorEastAsia" w:cstheme="minorEastAsia"/>
                <w:sz w:val="24"/>
                <w:szCs w:val="24"/>
              </w:rPr>
            </w:pPr>
          </w:p>
          <w:p w14:paraId="3B78A514">
            <w:pPr>
              <w:pStyle w:val="9"/>
              <w:snapToGrid w:val="0"/>
              <w:spacing w:before="7"/>
              <w:ind w:left="0"/>
              <w:jc w:val="right"/>
              <w:rPr>
                <w:rFonts w:hint="eastAsia" w:asciiTheme="minorEastAsia" w:hAnsiTheme="minorEastAsia" w:eastAsiaTheme="minorEastAsia" w:cstheme="minorEastAsia"/>
                <w:sz w:val="24"/>
                <w:szCs w:val="24"/>
              </w:rPr>
            </w:pPr>
          </w:p>
          <w:p w14:paraId="1E61B461">
            <w:pPr>
              <w:pStyle w:val="9"/>
              <w:snapToGrid w:val="0"/>
              <w:spacing w:before="0"/>
              <w:ind w:left="38" w:right="25"/>
              <w:jc w:val="righ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2 </w:t>
            </w:r>
          </w:p>
        </w:tc>
      </w:tr>
      <w:tr w14:paraId="7E84A6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40" w:type="dxa"/>
            <w:left w:w="64" w:type="dxa"/>
            <w:bottom w:w="40" w:type="dxa"/>
            <w:right w:w="64" w:type="dxa"/>
          </w:tblCellMar>
        </w:tblPrEx>
        <w:trPr>
          <w:trHeight w:val="0" w:hRule="atLeast"/>
          <w:jc w:val="center"/>
        </w:trPr>
        <w:tc>
          <w:tcPr>
            <w:tcW w:w="648" w:type="dxa"/>
            <w:vAlign w:val="center"/>
          </w:tcPr>
          <w:p w14:paraId="483336C8">
            <w:pPr>
              <w:pStyle w:val="9"/>
              <w:snapToGrid w:val="0"/>
              <w:ind w:left="157"/>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w w:val="101"/>
                <w:sz w:val="24"/>
                <w:szCs w:val="24"/>
              </w:rPr>
              <w:t> </w:t>
            </w:r>
          </w:p>
        </w:tc>
        <w:tc>
          <w:tcPr>
            <w:tcW w:w="2509" w:type="dxa"/>
            <w:vAlign w:val="center"/>
          </w:tcPr>
          <w:p w14:paraId="6FC96B53">
            <w:pPr>
              <w:pStyle w:val="9"/>
              <w:snapToGrid w:val="0"/>
              <w:ind w:left="13"/>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w w:val="101"/>
                <w:sz w:val="24"/>
                <w:szCs w:val="24"/>
              </w:rPr>
              <w:t> </w:t>
            </w:r>
          </w:p>
        </w:tc>
        <w:tc>
          <w:tcPr>
            <w:tcW w:w="1440" w:type="dxa"/>
            <w:vAlign w:val="center"/>
          </w:tcPr>
          <w:p w14:paraId="1D2732BC">
            <w:pPr>
              <w:pStyle w:val="9"/>
              <w:snapToGrid w:val="0"/>
              <w:ind w:left="13"/>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w w:val="101"/>
                <w:sz w:val="24"/>
                <w:szCs w:val="24"/>
              </w:rPr>
              <w:t> </w:t>
            </w:r>
          </w:p>
        </w:tc>
        <w:tc>
          <w:tcPr>
            <w:tcW w:w="838" w:type="dxa"/>
            <w:gridSpan w:val="4"/>
            <w:vAlign w:val="center"/>
          </w:tcPr>
          <w:p w14:paraId="03D21936">
            <w:pPr>
              <w:pStyle w:val="9"/>
              <w:snapToGrid w:val="0"/>
              <w:ind w:left="1514" w:right="1501"/>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合计</w:t>
            </w:r>
          </w:p>
        </w:tc>
        <w:tc>
          <w:tcPr>
            <w:tcW w:w="1048" w:type="dxa"/>
            <w:vAlign w:val="center"/>
          </w:tcPr>
          <w:p w14:paraId="2E1DE7F6">
            <w:pPr>
              <w:pStyle w:val="9"/>
              <w:snapToGrid w:val="0"/>
              <w:ind w:right="-15"/>
              <w:jc w:val="righ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22.531 </w:t>
            </w:r>
          </w:p>
        </w:tc>
        <w:tc>
          <w:tcPr>
            <w:tcW w:w="588" w:type="dxa"/>
            <w:vAlign w:val="center"/>
          </w:tcPr>
          <w:p w14:paraId="4C589CD0">
            <w:pPr>
              <w:pStyle w:val="9"/>
              <w:snapToGrid w:val="0"/>
              <w:ind w:right="-15"/>
              <w:jc w:val="righ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53 </w:t>
            </w:r>
          </w:p>
        </w:tc>
      </w:tr>
    </w:tbl>
    <w:p w14:paraId="56F111C1">
      <w:pPr>
        <w:spacing w:line="360" w:lineRule="auto"/>
        <w:rPr>
          <w:rFonts w:hint="eastAsia" w:asciiTheme="minorEastAsia" w:hAnsiTheme="minorEastAsia" w:eastAsiaTheme="minorEastAsia" w:cstheme="minorEastAsia"/>
          <w:color w:val="0D0D0D"/>
          <w:sz w:val="24"/>
          <w:szCs w:val="24"/>
        </w:rPr>
      </w:pPr>
    </w:p>
    <w:p w14:paraId="6C54DB2B">
      <w:pPr>
        <w:spacing w:line="360" w:lineRule="auto"/>
        <w:ind w:firstLine="482" w:firstLineChars="200"/>
        <w:rPr>
          <w:rFonts w:hint="eastAsia" w:asciiTheme="minorEastAsia" w:hAnsiTheme="minorEastAsia" w:eastAsiaTheme="minorEastAsia" w:cstheme="minorEastAsia"/>
          <w:b/>
          <w:bCs/>
          <w:color w:val="0D0D0D"/>
          <w:sz w:val="24"/>
          <w:szCs w:val="24"/>
        </w:rPr>
      </w:pPr>
      <w:r>
        <w:rPr>
          <w:rFonts w:hint="eastAsia" w:asciiTheme="minorEastAsia" w:hAnsiTheme="minorEastAsia" w:eastAsiaTheme="minorEastAsia" w:cstheme="minorEastAsia"/>
          <w:b/>
          <w:bCs/>
          <w:color w:val="0D0D0D"/>
          <w:sz w:val="24"/>
          <w:szCs w:val="24"/>
        </w:rPr>
        <w:t>6.知识产权证明目录</w:t>
      </w:r>
    </w:p>
    <w:tbl>
      <w:tblPr>
        <w:tblStyle w:val="10"/>
        <w:tblW w:w="1055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80" w:type="dxa"/>
          <w:left w:w="102" w:type="dxa"/>
          <w:bottom w:w="80" w:type="dxa"/>
          <w:right w:w="102" w:type="dxa"/>
        </w:tblCellMar>
      </w:tblPr>
      <w:tblGrid>
        <w:gridCol w:w="633"/>
        <w:gridCol w:w="1524"/>
        <w:gridCol w:w="1524"/>
        <w:gridCol w:w="1924"/>
        <w:gridCol w:w="924"/>
        <w:gridCol w:w="1333"/>
        <w:gridCol w:w="1124"/>
        <w:gridCol w:w="1571"/>
      </w:tblGrid>
      <w:tr w14:paraId="15750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80" w:type="dxa"/>
            <w:left w:w="102" w:type="dxa"/>
            <w:bottom w:w="80" w:type="dxa"/>
            <w:right w:w="102" w:type="dxa"/>
          </w:tblCellMar>
        </w:tblPrEx>
        <w:trPr>
          <w:trHeight w:val="0" w:hRule="atLeast"/>
          <w:tblHeader/>
          <w:jc w:val="center"/>
        </w:trPr>
        <w:tc>
          <w:tcPr>
            <w:tcW w:w="633" w:type="dxa"/>
            <w:vAlign w:val="center"/>
          </w:tcPr>
          <w:p w14:paraId="17C30D51">
            <w:pPr>
              <w:pStyle w:val="9"/>
              <w:snapToGrid w:val="0"/>
              <w:ind w:left="12"/>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序号</w:t>
            </w:r>
          </w:p>
        </w:tc>
        <w:tc>
          <w:tcPr>
            <w:tcW w:w="1524" w:type="dxa"/>
            <w:vAlign w:val="center"/>
          </w:tcPr>
          <w:p w14:paraId="30E287CF">
            <w:pPr>
              <w:pStyle w:val="9"/>
              <w:snapToGrid w:val="0"/>
              <w:ind w:left="56"/>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知识产权类别</w:t>
            </w:r>
          </w:p>
        </w:tc>
        <w:tc>
          <w:tcPr>
            <w:tcW w:w="1524" w:type="dxa"/>
            <w:vAlign w:val="center"/>
          </w:tcPr>
          <w:p w14:paraId="7D80F08E">
            <w:pPr>
              <w:pStyle w:val="9"/>
              <w:snapToGrid w:val="0"/>
              <w:ind w:left="56"/>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国家（地区）</w:t>
            </w:r>
          </w:p>
        </w:tc>
        <w:tc>
          <w:tcPr>
            <w:tcW w:w="1924" w:type="dxa"/>
            <w:vAlign w:val="center"/>
          </w:tcPr>
          <w:p w14:paraId="5699680D">
            <w:pPr>
              <w:pStyle w:val="9"/>
              <w:snapToGrid w:val="0"/>
              <w:ind w:left="296"/>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知识产权具体名称</w:t>
            </w:r>
          </w:p>
        </w:tc>
        <w:tc>
          <w:tcPr>
            <w:tcW w:w="924" w:type="dxa"/>
            <w:vAlign w:val="center"/>
          </w:tcPr>
          <w:p w14:paraId="5639AD49">
            <w:pPr>
              <w:pStyle w:val="9"/>
              <w:snapToGrid w:val="0"/>
              <w:ind w:left="3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专利号</w:t>
            </w:r>
          </w:p>
        </w:tc>
        <w:tc>
          <w:tcPr>
            <w:tcW w:w="1333" w:type="dxa"/>
            <w:vAlign w:val="center"/>
          </w:tcPr>
          <w:p w14:paraId="7DB9BF4E">
            <w:pPr>
              <w:pStyle w:val="9"/>
              <w:snapToGrid w:val="0"/>
              <w:ind w:left="124" w:right="114"/>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授权公告日</w:t>
            </w:r>
          </w:p>
        </w:tc>
        <w:tc>
          <w:tcPr>
            <w:tcW w:w="1124" w:type="dxa"/>
            <w:vAlign w:val="center"/>
          </w:tcPr>
          <w:p w14:paraId="59ED01DB">
            <w:pPr>
              <w:pStyle w:val="9"/>
              <w:snapToGrid w:val="0"/>
              <w:ind w:left="41"/>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专利权人</w:t>
            </w:r>
          </w:p>
        </w:tc>
        <w:tc>
          <w:tcPr>
            <w:tcW w:w="1571" w:type="dxa"/>
            <w:vAlign w:val="center"/>
          </w:tcPr>
          <w:p w14:paraId="746D0566">
            <w:pPr>
              <w:pStyle w:val="9"/>
              <w:snapToGrid w:val="0"/>
              <w:ind w:left="27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全部发明人</w:t>
            </w:r>
          </w:p>
        </w:tc>
      </w:tr>
      <w:tr w14:paraId="5BFEB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80" w:type="dxa"/>
            <w:left w:w="102" w:type="dxa"/>
            <w:bottom w:w="80" w:type="dxa"/>
            <w:right w:w="102" w:type="dxa"/>
          </w:tblCellMar>
        </w:tblPrEx>
        <w:trPr>
          <w:trHeight w:val="0" w:hRule="atLeast"/>
          <w:jc w:val="center"/>
        </w:trPr>
        <w:tc>
          <w:tcPr>
            <w:tcW w:w="633" w:type="dxa"/>
            <w:vAlign w:val="center"/>
          </w:tcPr>
          <w:p w14:paraId="45BCE77C">
            <w:pPr>
              <w:pStyle w:val="9"/>
              <w:snapToGrid w:val="0"/>
              <w:ind w:left="0" w:right="111"/>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w:t>
            </w:r>
          </w:p>
        </w:tc>
        <w:tc>
          <w:tcPr>
            <w:tcW w:w="1524" w:type="dxa"/>
            <w:vAlign w:val="center"/>
          </w:tcPr>
          <w:p w14:paraId="7B094D38">
            <w:pPr>
              <w:pStyle w:val="9"/>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论著 </w:t>
            </w:r>
          </w:p>
        </w:tc>
        <w:tc>
          <w:tcPr>
            <w:tcW w:w="1524" w:type="dxa"/>
            <w:vAlign w:val="center"/>
          </w:tcPr>
          <w:p w14:paraId="2EE460FE">
            <w:pPr>
              <w:pStyle w:val="9"/>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中国 </w:t>
            </w:r>
          </w:p>
        </w:tc>
        <w:tc>
          <w:tcPr>
            <w:tcW w:w="1924" w:type="dxa"/>
            <w:vAlign w:val="center"/>
          </w:tcPr>
          <w:p w14:paraId="0A69CFA9">
            <w:pPr>
              <w:pStyle w:val="9"/>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儿童肝移植护理手册 </w:t>
            </w:r>
          </w:p>
        </w:tc>
        <w:tc>
          <w:tcPr>
            <w:tcW w:w="924" w:type="dxa"/>
            <w:vAlign w:val="center"/>
          </w:tcPr>
          <w:p w14:paraId="185042A4">
            <w:pPr>
              <w:pStyle w:val="9"/>
              <w:snapToGrid w:val="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无 </w:t>
            </w:r>
          </w:p>
        </w:tc>
        <w:tc>
          <w:tcPr>
            <w:tcW w:w="1333" w:type="dxa"/>
            <w:vAlign w:val="center"/>
          </w:tcPr>
          <w:p w14:paraId="5A19428D">
            <w:pPr>
              <w:pStyle w:val="9"/>
              <w:snapToGrid w:val="0"/>
              <w:ind w:left="0" w:right="11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2023年6月31日 </w:t>
            </w:r>
          </w:p>
        </w:tc>
        <w:tc>
          <w:tcPr>
            <w:tcW w:w="1124" w:type="dxa"/>
            <w:vAlign w:val="center"/>
          </w:tcPr>
          <w:p w14:paraId="161B052D">
            <w:pPr>
              <w:pStyle w:val="9"/>
              <w:snapToGrid w:val="0"/>
              <w:ind w:left="3"/>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尹强 </w:t>
            </w:r>
          </w:p>
        </w:tc>
        <w:tc>
          <w:tcPr>
            <w:tcW w:w="1571" w:type="dxa"/>
            <w:vAlign w:val="center"/>
          </w:tcPr>
          <w:p w14:paraId="25A23CAE">
            <w:pPr>
              <w:pStyle w:val="9"/>
              <w:snapToGrid w:val="0"/>
              <w:ind w:left="3"/>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尹强；朱丽辉 </w:t>
            </w:r>
          </w:p>
        </w:tc>
      </w:tr>
    </w:tbl>
    <w:p w14:paraId="0915F3D8">
      <w:pPr>
        <w:spacing w:line="360" w:lineRule="auto"/>
        <w:rPr>
          <w:rFonts w:hint="eastAsia" w:asciiTheme="minorEastAsia" w:hAnsiTheme="minorEastAsia" w:eastAsiaTheme="minorEastAsia" w:cstheme="minorEastAsia"/>
          <w:color w:val="0D0D0D"/>
          <w:sz w:val="24"/>
          <w:szCs w:val="24"/>
        </w:rPr>
      </w:pPr>
    </w:p>
    <w:p w14:paraId="0E69016D">
      <w:pPr>
        <w:spacing w:line="360" w:lineRule="auto"/>
        <w:ind w:firstLine="482" w:firstLineChars="200"/>
        <w:rPr>
          <w:rFonts w:hint="eastAsia" w:asciiTheme="minorEastAsia" w:hAnsiTheme="minorEastAsia" w:eastAsiaTheme="minorEastAsia" w:cstheme="minorEastAsia"/>
          <w:b/>
          <w:bCs/>
          <w:color w:val="0D0D0D"/>
          <w:sz w:val="24"/>
          <w:szCs w:val="24"/>
        </w:rPr>
      </w:pPr>
      <w:r>
        <w:rPr>
          <w:rFonts w:hint="eastAsia" w:asciiTheme="minorEastAsia" w:hAnsiTheme="minorEastAsia" w:eastAsiaTheme="minorEastAsia" w:cstheme="minorEastAsia"/>
          <w:b/>
          <w:bCs/>
          <w:color w:val="0D0D0D"/>
          <w:sz w:val="24"/>
          <w:szCs w:val="24"/>
        </w:rPr>
        <w:t>7.科研基金计划、基金目录</w:t>
      </w:r>
    </w:p>
    <w:tbl>
      <w:tblPr>
        <w:tblStyle w:val="10"/>
        <w:tblW w:w="1090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80" w:type="dxa"/>
          <w:left w:w="102" w:type="dxa"/>
          <w:bottom w:w="80" w:type="dxa"/>
          <w:right w:w="102" w:type="dxa"/>
        </w:tblCellMar>
      </w:tblPr>
      <w:tblGrid>
        <w:gridCol w:w="726"/>
        <w:gridCol w:w="1898"/>
        <w:gridCol w:w="1592"/>
        <w:gridCol w:w="3505"/>
        <w:gridCol w:w="831"/>
        <w:gridCol w:w="998"/>
        <w:gridCol w:w="1357"/>
      </w:tblGrid>
      <w:tr w14:paraId="2338C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80" w:type="dxa"/>
            <w:left w:w="102" w:type="dxa"/>
            <w:bottom w:w="80" w:type="dxa"/>
            <w:right w:w="102" w:type="dxa"/>
          </w:tblCellMar>
        </w:tblPrEx>
        <w:trPr>
          <w:trHeight w:val="0" w:hRule="atLeast"/>
          <w:tblHeader/>
          <w:jc w:val="center"/>
        </w:trPr>
        <w:tc>
          <w:tcPr>
            <w:tcW w:w="726" w:type="dxa"/>
            <w:vAlign w:val="center"/>
          </w:tcPr>
          <w:p w14:paraId="20D2BB42">
            <w:pPr>
              <w:pStyle w:val="9"/>
              <w:snapToGrid w:val="0"/>
              <w:spacing w:before="47" w:line="255" w:lineRule="exact"/>
              <w:ind w:left="5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w w:val="101"/>
                <w:sz w:val="24"/>
                <w:szCs w:val="24"/>
                <w:lang w:eastAsia="zh-CN"/>
              </w:rPr>
              <w:t>序号</w:t>
            </w:r>
          </w:p>
        </w:tc>
        <w:tc>
          <w:tcPr>
            <w:tcW w:w="1898" w:type="dxa"/>
            <w:vAlign w:val="center"/>
          </w:tcPr>
          <w:p w14:paraId="2F06B65C">
            <w:pPr>
              <w:pStyle w:val="9"/>
              <w:snapToGrid w:val="0"/>
              <w:spacing w:before="47" w:line="255" w:lineRule="exact"/>
              <w:ind w:left="11"/>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基金、计划类别</w:t>
            </w:r>
          </w:p>
        </w:tc>
        <w:tc>
          <w:tcPr>
            <w:tcW w:w="1592" w:type="dxa"/>
            <w:vAlign w:val="center"/>
          </w:tcPr>
          <w:p w14:paraId="2F8EBD37">
            <w:pPr>
              <w:pStyle w:val="9"/>
              <w:snapToGrid w:val="0"/>
              <w:spacing w:before="179"/>
              <w:ind w:left="52" w:right="4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编号</w:t>
            </w:r>
          </w:p>
        </w:tc>
        <w:tc>
          <w:tcPr>
            <w:tcW w:w="3505" w:type="dxa"/>
            <w:vAlign w:val="center"/>
          </w:tcPr>
          <w:p w14:paraId="11FDC000">
            <w:pPr>
              <w:pStyle w:val="9"/>
              <w:snapToGrid w:val="0"/>
              <w:spacing w:before="179"/>
              <w:ind w:left="1523" w:right="151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项目名称</w:t>
            </w:r>
          </w:p>
        </w:tc>
        <w:tc>
          <w:tcPr>
            <w:tcW w:w="831" w:type="dxa"/>
            <w:vAlign w:val="center"/>
          </w:tcPr>
          <w:p w14:paraId="4EBB6B62">
            <w:pPr>
              <w:pStyle w:val="9"/>
              <w:snapToGrid w:val="0"/>
              <w:spacing w:before="179"/>
              <w:ind w:left="17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承担单位</w:t>
            </w:r>
          </w:p>
        </w:tc>
        <w:tc>
          <w:tcPr>
            <w:tcW w:w="998" w:type="dxa"/>
            <w:vAlign w:val="center"/>
          </w:tcPr>
          <w:p w14:paraId="0F949D79">
            <w:pPr>
              <w:pStyle w:val="9"/>
              <w:snapToGrid w:val="0"/>
              <w:spacing w:before="47" w:line="255" w:lineRule="exact"/>
              <w:ind w:left="1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负责人</w:t>
            </w:r>
          </w:p>
        </w:tc>
        <w:tc>
          <w:tcPr>
            <w:tcW w:w="1357" w:type="dxa"/>
            <w:vAlign w:val="center"/>
          </w:tcPr>
          <w:p w14:paraId="5369F715">
            <w:pPr>
              <w:pStyle w:val="9"/>
              <w:snapToGrid w:val="0"/>
              <w:spacing w:before="179"/>
              <w:ind w:left="437"/>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执行时间</w:t>
            </w:r>
          </w:p>
        </w:tc>
      </w:tr>
      <w:tr w14:paraId="4FCA4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80" w:type="dxa"/>
            <w:left w:w="102" w:type="dxa"/>
            <w:bottom w:w="80" w:type="dxa"/>
            <w:right w:w="102" w:type="dxa"/>
          </w:tblCellMar>
        </w:tblPrEx>
        <w:trPr>
          <w:trHeight w:val="0" w:hRule="atLeast"/>
          <w:jc w:val="center"/>
        </w:trPr>
        <w:tc>
          <w:tcPr>
            <w:tcW w:w="726" w:type="dxa"/>
            <w:vAlign w:val="center"/>
          </w:tcPr>
          <w:p w14:paraId="557B3B0E">
            <w:pPr>
              <w:pStyle w:val="9"/>
              <w:snapToGrid w:val="0"/>
              <w:spacing w:before="179"/>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w:t>
            </w:r>
          </w:p>
        </w:tc>
        <w:tc>
          <w:tcPr>
            <w:tcW w:w="1898" w:type="dxa"/>
            <w:vAlign w:val="center"/>
          </w:tcPr>
          <w:p w14:paraId="73955E7A">
            <w:pPr>
              <w:pStyle w:val="9"/>
              <w:snapToGrid w:val="0"/>
              <w:spacing w:before="27"/>
              <w:ind w:left="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省卫生健康</w:t>
            </w:r>
          </w:p>
          <w:p w14:paraId="445658B8">
            <w:pPr>
              <w:pStyle w:val="9"/>
              <w:snapToGrid w:val="0"/>
              <w:spacing w:before="47" w:line="255" w:lineRule="exact"/>
              <w:ind w:left="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委 </w:t>
            </w:r>
          </w:p>
        </w:tc>
        <w:tc>
          <w:tcPr>
            <w:tcW w:w="1592" w:type="dxa"/>
            <w:vAlign w:val="center"/>
          </w:tcPr>
          <w:p w14:paraId="3F9661FC">
            <w:pPr>
              <w:pStyle w:val="9"/>
              <w:snapToGrid w:val="0"/>
              <w:spacing w:before="179"/>
              <w:ind w:left="4"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202109021301 </w:t>
            </w:r>
          </w:p>
        </w:tc>
        <w:tc>
          <w:tcPr>
            <w:tcW w:w="3505" w:type="dxa"/>
            <w:vAlign w:val="center"/>
          </w:tcPr>
          <w:p w14:paraId="0739E3E8">
            <w:pPr>
              <w:pStyle w:val="9"/>
              <w:snapToGrid w:val="0"/>
              <w:spacing w:before="2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彩超联合剪切波弹性成像技术对儿童肝移植</w:t>
            </w:r>
          </w:p>
          <w:p w14:paraId="52E8E936">
            <w:pPr>
              <w:pStyle w:val="9"/>
              <w:snapToGrid w:val="0"/>
              <w:spacing w:before="47" w:line="255" w:lineRule="exact"/>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的检测价值研究 </w:t>
            </w:r>
          </w:p>
        </w:tc>
        <w:tc>
          <w:tcPr>
            <w:tcW w:w="831" w:type="dxa"/>
            <w:vAlign w:val="center"/>
          </w:tcPr>
          <w:p w14:paraId="4C47A3B8">
            <w:pPr>
              <w:pStyle w:val="9"/>
              <w:snapToGrid w:val="0"/>
              <w:spacing w:before="2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湖南省儿童</w:t>
            </w:r>
          </w:p>
          <w:p w14:paraId="7360A148">
            <w:pPr>
              <w:pStyle w:val="9"/>
              <w:snapToGrid w:val="0"/>
              <w:spacing w:before="47" w:line="255" w:lineRule="exact"/>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医院 </w:t>
            </w:r>
          </w:p>
        </w:tc>
        <w:tc>
          <w:tcPr>
            <w:tcW w:w="998" w:type="dxa"/>
            <w:vAlign w:val="center"/>
          </w:tcPr>
          <w:p w14:paraId="5D184662">
            <w:pPr>
              <w:pStyle w:val="9"/>
              <w:snapToGrid w:val="0"/>
              <w:spacing w:before="27"/>
              <w:ind w:left="6"/>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刘金</w:t>
            </w:r>
          </w:p>
          <w:p w14:paraId="075107EE">
            <w:pPr>
              <w:pStyle w:val="9"/>
              <w:snapToGrid w:val="0"/>
              <w:spacing w:before="47" w:line="255" w:lineRule="exact"/>
              <w:ind w:left="6"/>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桥 </w:t>
            </w:r>
          </w:p>
        </w:tc>
        <w:tc>
          <w:tcPr>
            <w:tcW w:w="1357" w:type="dxa"/>
            <w:vAlign w:val="center"/>
          </w:tcPr>
          <w:p w14:paraId="4AA9DF45">
            <w:pPr>
              <w:pStyle w:val="9"/>
              <w:snapToGrid w:val="0"/>
              <w:spacing w:before="27"/>
              <w:ind w:left="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2021年1月—2023</w:t>
            </w:r>
          </w:p>
          <w:p w14:paraId="71E7418A">
            <w:pPr>
              <w:pStyle w:val="9"/>
              <w:snapToGrid w:val="0"/>
              <w:spacing w:before="47" w:line="255" w:lineRule="exact"/>
              <w:ind w:left="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年12月 </w:t>
            </w:r>
          </w:p>
        </w:tc>
      </w:tr>
    </w:tbl>
    <w:p w14:paraId="3475F6F1">
      <w:pPr>
        <w:spacing w:line="360" w:lineRule="auto"/>
        <w:rPr>
          <w:rFonts w:hint="eastAsia" w:asciiTheme="minorEastAsia" w:hAnsiTheme="minorEastAsia" w:eastAsiaTheme="minorEastAsia" w:cstheme="minorEastAsia"/>
          <w:color w:val="0D0D0D"/>
          <w:sz w:val="24"/>
          <w:szCs w:val="24"/>
        </w:rPr>
      </w:pPr>
    </w:p>
    <w:p w14:paraId="6D686F5D">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8.应用单位目录</w:t>
      </w:r>
      <w:r>
        <w:rPr>
          <w:rFonts w:hint="eastAsia" w:asciiTheme="minorEastAsia" w:hAnsiTheme="minorEastAsia" w:eastAsiaTheme="minorEastAsia" w:cstheme="minorEastAsia"/>
          <w:color w:val="0D0D0D"/>
          <w:sz w:val="24"/>
          <w:szCs w:val="24"/>
        </w:rPr>
        <w:t>：无</w:t>
      </w:r>
    </w:p>
    <w:p w14:paraId="5A852889">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9.科普作品目录</w:t>
      </w:r>
      <w:r>
        <w:rPr>
          <w:rFonts w:hint="eastAsia" w:asciiTheme="minorEastAsia" w:hAnsiTheme="minorEastAsia" w:eastAsiaTheme="minorEastAsia" w:cstheme="minorEastAsia"/>
          <w:color w:val="0D0D0D"/>
          <w:sz w:val="24"/>
          <w:szCs w:val="24"/>
        </w:rPr>
        <w:t>：无</w:t>
      </w:r>
    </w:p>
    <w:p w14:paraId="41710362">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10.完成人情况</w:t>
      </w:r>
      <w:r>
        <w:rPr>
          <w:rFonts w:hint="eastAsia" w:asciiTheme="minorEastAsia" w:hAnsiTheme="minorEastAsia" w:eastAsiaTheme="minorEastAsia" w:cstheme="minorEastAsia"/>
          <w:color w:val="0D0D0D"/>
          <w:sz w:val="24"/>
          <w:szCs w:val="24"/>
        </w:rPr>
        <w:t>，包括姓名、排名、职称、行政职务、工作单位、对本项目的贡献</w:t>
      </w:r>
    </w:p>
    <w:tbl>
      <w:tblPr>
        <w:tblStyle w:val="10"/>
        <w:tblW w:w="977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56" w:type="dxa"/>
          <w:left w:w="96" w:type="dxa"/>
          <w:bottom w:w="56" w:type="dxa"/>
          <w:right w:w="96" w:type="dxa"/>
        </w:tblCellMar>
      </w:tblPr>
      <w:tblGrid>
        <w:gridCol w:w="895"/>
        <w:gridCol w:w="712"/>
        <w:gridCol w:w="1267"/>
        <w:gridCol w:w="1112"/>
        <w:gridCol w:w="1592"/>
        <w:gridCol w:w="4192"/>
      </w:tblGrid>
      <w:tr w14:paraId="5541F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tblHeader/>
          <w:jc w:val="center"/>
        </w:trPr>
        <w:tc>
          <w:tcPr>
            <w:tcW w:w="895" w:type="dxa"/>
            <w:vAlign w:val="center"/>
          </w:tcPr>
          <w:p w14:paraId="0D8739B2">
            <w:pPr>
              <w:pStyle w:val="9"/>
              <w:snapToGrid w:val="0"/>
              <w:spacing w:before="27"/>
              <w:ind w:left="55"/>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w w:val="101"/>
                <w:sz w:val="24"/>
                <w:szCs w:val="24"/>
                <w:lang w:eastAsia="zh-CN"/>
              </w:rPr>
              <w:t>姓名</w:t>
            </w:r>
          </w:p>
        </w:tc>
        <w:tc>
          <w:tcPr>
            <w:tcW w:w="712" w:type="dxa"/>
            <w:vAlign w:val="center"/>
          </w:tcPr>
          <w:p w14:paraId="49F54DDD">
            <w:pPr>
              <w:pStyle w:val="9"/>
              <w:snapToGrid w:val="0"/>
              <w:spacing w:before="27"/>
              <w:ind w:left="11"/>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排名</w:t>
            </w:r>
          </w:p>
        </w:tc>
        <w:tc>
          <w:tcPr>
            <w:tcW w:w="1267" w:type="dxa"/>
            <w:vAlign w:val="center"/>
          </w:tcPr>
          <w:p w14:paraId="62B8FED6">
            <w:pPr>
              <w:pStyle w:val="9"/>
              <w:snapToGrid w:val="0"/>
              <w:spacing w:before="179"/>
              <w:ind w:left="52" w:right="4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职称</w:t>
            </w:r>
          </w:p>
        </w:tc>
        <w:tc>
          <w:tcPr>
            <w:tcW w:w="1112" w:type="dxa"/>
            <w:vAlign w:val="center"/>
          </w:tcPr>
          <w:p w14:paraId="2BE17BE3">
            <w:pPr>
              <w:pStyle w:val="9"/>
              <w:snapToGrid w:val="0"/>
              <w:spacing w:before="179"/>
              <w:ind w:left="17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行政职务</w:t>
            </w:r>
          </w:p>
        </w:tc>
        <w:tc>
          <w:tcPr>
            <w:tcW w:w="1592" w:type="dxa"/>
            <w:vAlign w:val="center"/>
          </w:tcPr>
          <w:p w14:paraId="3E4430FE">
            <w:pPr>
              <w:pStyle w:val="9"/>
              <w:snapToGrid w:val="0"/>
              <w:spacing w:before="179"/>
              <w:ind w:left="170"/>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工作单位</w:t>
            </w:r>
          </w:p>
        </w:tc>
        <w:tc>
          <w:tcPr>
            <w:tcW w:w="4192" w:type="dxa"/>
            <w:vAlign w:val="center"/>
          </w:tcPr>
          <w:p w14:paraId="58808382">
            <w:pPr>
              <w:pStyle w:val="9"/>
              <w:snapToGrid w:val="0"/>
              <w:spacing w:before="179"/>
              <w:ind w:left="437"/>
              <w:jc w:val="center"/>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eastAsia="zh-CN"/>
              </w:rPr>
              <w:t>对本项目贡献</w:t>
            </w:r>
          </w:p>
        </w:tc>
      </w:tr>
      <w:tr w14:paraId="213BD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jc w:val="center"/>
        </w:trPr>
        <w:tc>
          <w:tcPr>
            <w:tcW w:w="895" w:type="dxa"/>
            <w:vAlign w:val="center"/>
          </w:tcPr>
          <w:p w14:paraId="5DB971F5">
            <w:pPr>
              <w:pStyle w:val="9"/>
              <w:snapToGrid w:val="0"/>
              <w:spacing w:before="179"/>
              <w:ind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刘金桥</w:t>
            </w:r>
          </w:p>
        </w:tc>
        <w:tc>
          <w:tcPr>
            <w:tcW w:w="712" w:type="dxa"/>
            <w:vAlign w:val="center"/>
          </w:tcPr>
          <w:p w14:paraId="28163C4D">
            <w:pPr>
              <w:pStyle w:val="9"/>
              <w:snapToGrid w:val="0"/>
              <w:spacing w:before="27"/>
              <w:ind w:left="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1</w:t>
            </w:r>
          </w:p>
        </w:tc>
        <w:tc>
          <w:tcPr>
            <w:tcW w:w="1267" w:type="dxa"/>
            <w:vAlign w:val="center"/>
          </w:tcPr>
          <w:p w14:paraId="78143115">
            <w:pPr>
              <w:pStyle w:val="9"/>
              <w:snapToGrid w:val="0"/>
              <w:spacing w:before="179"/>
              <w:ind w:left="4" w:right="-15"/>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主任医师</w:t>
            </w:r>
            <w:r>
              <w:rPr>
                <w:rFonts w:hint="eastAsia" w:asciiTheme="minorEastAsia" w:hAnsiTheme="minorEastAsia" w:eastAsiaTheme="minorEastAsia" w:cstheme="minorEastAsia"/>
                <w:sz w:val="24"/>
                <w:szCs w:val="24"/>
              </w:rPr>
              <w:t> </w:t>
            </w:r>
          </w:p>
        </w:tc>
        <w:tc>
          <w:tcPr>
            <w:tcW w:w="1112" w:type="dxa"/>
            <w:vAlign w:val="center"/>
          </w:tcPr>
          <w:p w14:paraId="1C3FF0CF">
            <w:pPr>
              <w:pStyle w:val="9"/>
              <w:snapToGrid w:val="0"/>
              <w:spacing w:before="2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科室主任（超声科）</w:t>
            </w:r>
          </w:p>
        </w:tc>
        <w:tc>
          <w:tcPr>
            <w:tcW w:w="1592" w:type="dxa"/>
            <w:vAlign w:val="center"/>
          </w:tcPr>
          <w:p w14:paraId="0900BEAD">
            <w:pPr>
              <w:pStyle w:val="9"/>
              <w:snapToGrid w:val="0"/>
              <w:spacing w:before="2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湖南省儿童医院 </w:t>
            </w:r>
          </w:p>
        </w:tc>
        <w:tc>
          <w:tcPr>
            <w:tcW w:w="4192" w:type="dxa"/>
            <w:vAlign w:val="center"/>
          </w:tcPr>
          <w:p w14:paraId="63A738D3">
            <w:pPr>
              <w:pStyle w:val="9"/>
              <w:snapToGrid w:val="0"/>
              <w:spacing w:before="27"/>
              <w:ind w:left="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负责课题设计及多学科协调工作，牵头制定并实施了CDFI与SWE相结合的儿童肝移植全程影像评估方案。通过系统采集与分析术前至术后不同时间点的血流动力学与组织弹性数据，深入探索了参数变化与移植预后的关联，为建 立早期无创预警模型提供了核心依据，有效推动了研究成果向临床实践的转化，对重要科学发现中所列的1、2、 3、4项做出了实质性贡献。（论文1；2；3第一作者；论文3；4通讯作者）</w:t>
            </w:r>
          </w:p>
        </w:tc>
      </w:tr>
      <w:tr w14:paraId="78304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jc w:val="center"/>
        </w:trPr>
        <w:tc>
          <w:tcPr>
            <w:tcW w:w="895" w:type="dxa"/>
            <w:vAlign w:val="center"/>
          </w:tcPr>
          <w:p w14:paraId="281901DC">
            <w:pPr>
              <w:pStyle w:val="9"/>
              <w:snapToGrid w:val="0"/>
              <w:spacing w:before="179"/>
              <w:ind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李文凤</w:t>
            </w:r>
          </w:p>
        </w:tc>
        <w:tc>
          <w:tcPr>
            <w:tcW w:w="712" w:type="dxa"/>
            <w:vAlign w:val="center"/>
          </w:tcPr>
          <w:p w14:paraId="6269211F">
            <w:pPr>
              <w:pStyle w:val="9"/>
              <w:snapToGrid w:val="0"/>
              <w:spacing w:before="27"/>
              <w:ind w:left="4"/>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p>
        </w:tc>
        <w:tc>
          <w:tcPr>
            <w:tcW w:w="1267" w:type="dxa"/>
            <w:vAlign w:val="center"/>
          </w:tcPr>
          <w:p w14:paraId="7628980C">
            <w:pPr>
              <w:pStyle w:val="9"/>
              <w:snapToGrid w:val="0"/>
              <w:spacing w:before="179"/>
              <w:ind w:left="4"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主治医师</w:t>
            </w:r>
          </w:p>
        </w:tc>
        <w:tc>
          <w:tcPr>
            <w:tcW w:w="1112" w:type="dxa"/>
            <w:vAlign w:val="center"/>
          </w:tcPr>
          <w:p w14:paraId="0E5DF2E2">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无</w:t>
            </w:r>
          </w:p>
        </w:tc>
        <w:tc>
          <w:tcPr>
            <w:tcW w:w="1592" w:type="dxa"/>
            <w:vAlign w:val="center"/>
          </w:tcPr>
          <w:p w14:paraId="453B7895">
            <w:pPr>
              <w:pStyle w:val="9"/>
              <w:snapToGrid w:val="0"/>
              <w:spacing w:before="27"/>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湖南省儿童医院</w:t>
            </w:r>
          </w:p>
        </w:tc>
        <w:tc>
          <w:tcPr>
            <w:tcW w:w="4192" w:type="dxa"/>
            <w:vAlign w:val="center"/>
          </w:tcPr>
          <w:p w14:paraId="158DB39D">
            <w:pPr>
              <w:pStyle w:val="9"/>
              <w:snapToGrid w:val="0"/>
              <w:spacing w:before="27"/>
              <w:ind w:left="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负责本项目的方案实施、数据收集、分析，与小儿外科的沟通与合作，提供肝移植术后并发症发生的研究数据分析，对重要科学发现中所列的第4项做出了实质性贡献。（论文4第一作者，论文1第四作者，论文2第四作者）</w:t>
            </w:r>
          </w:p>
        </w:tc>
      </w:tr>
      <w:tr w14:paraId="2AFF6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jc w:val="center"/>
        </w:trPr>
        <w:tc>
          <w:tcPr>
            <w:tcW w:w="895" w:type="dxa"/>
            <w:vAlign w:val="center"/>
          </w:tcPr>
          <w:p w14:paraId="36D0A282">
            <w:pPr>
              <w:pStyle w:val="9"/>
              <w:snapToGrid w:val="0"/>
              <w:spacing w:before="179"/>
              <w:ind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尹强</w:t>
            </w:r>
          </w:p>
        </w:tc>
        <w:tc>
          <w:tcPr>
            <w:tcW w:w="712" w:type="dxa"/>
            <w:vAlign w:val="center"/>
          </w:tcPr>
          <w:p w14:paraId="7CF73163">
            <w:pPr>
              <w:pStyle w:val="9"/>
              <w:snapToGrid w:val="0"/>
              <w:spacing w:before="27"/>
              <w:ind w:left="4"/>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p>
        </w:tc>
        <w:tc>
          <w:tcPr>
            <w:tcW w:w="1267" w:type="dxa"/>
            <w:vAlign w:val="center"/>
          </w:tcPr>
          <w:p w14:paraId="322E8CD7">
            <w:pPr>
              <w:pStyle w:val="9"/>
              <w:snapToGrid w:val="0"/>
              <w:spacing w:before="179"/>
              <w:ind w:left="4"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主任医师</w:t>
            </w:r>
          </w:p>
        </w:tc>
        <w:tc>
          <w:tcPr>
            <w:tcW w:w="1112" w:type="dxa"/>
            <w:vAlign w:val="center"/>
          </w:tcPr>
          <w:p w14:paraId="3EDDE0E8">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科室主任（普外科）</w:t>
            </w:r>
          </w:p>
        </w:tc>
        <w:tc>
          <w:tcPr>
            <w:tcW w:w="1592" w:type="dxa"/>
            <w:vAlign w:val="center"/>
          </w:tcPr>
          <w:p w14:paraId="610A0516">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湖南省儿童医院</w:t>
            </w:r>
          </w:p>
        </w:tc>
        <w:tc>
          <w:tcPr>
            <w:tcW w:w="4192" w:type="dxa"/>
            <w:vAlign w:val="center"/>
          </w:tcPr>
          <w:p w14:paraId="587210E8">
            <w:pPr>
              <w:pStyle w:val="9"/>
              <w:snapToGrid w:val="0"/>
              <w:spacing w:before="27"/>
              <w:ind w:left="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负责本项目手术操作及病人术后跟踪随访，数据资料收集，对重要科学发现中所列的第1、2、3、4项做出了实质性贡献。（论文3第三作者，论文5-8通讯作者）</w:t>
            </w:r>
          </w:p>
        </w:tc>
      </w:tr>
      <w:tr w14:paraId="470B1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jc w:val="center"/>
        </w:trPr>
        <w:tc>
          <w:tcPr>
            <w:tcW w:w="895" w:type="dxa"/>
            <w:vAlign w:val="center"/>
          </w:tcPr>
          <w:p w14:paraId="71444F7C">
            <w:pPr>
              <w:pStyle w:val="9"/>
              <w:snapToGrid w:val="0"/>
              <w:spacing w:before="179"/>
              <w:ind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彭宇明</w:t>
            </w:r>
          </w:p>
        </w:tc>
        <w:tc>
          <w:tcPr>
            <w:tcW w:w="712" w:type="dxa"/>
            <w:vAlign w:val="center"/>
          </w:tcPr>
          <w:p w14:paraId="64AA40E8">
            <w:pPr>
              <w:pStyle w:val="9"/>
              <w:snapToGrid w:val="0"/>
              <w:spacing w:before="27"/>
              <w:ind w:left="4"/>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p>
        </w:tc>
        <w:tc>
          <w:tcPr>
            <w:tcW w:w="1267" w:type="dxa"/>
            <w:vAlign w:val="center"/>
          </w:tcPr>
          <w:p w14:paraId="7288DDAB">
            <w:pPr>
              <w:pStyle w:val="9"/>
              <w:snapToGrid w:val="0"/>
              <w:spacing w:before="179"/>
              <w:ind w:left="4"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主治医师</w:t>
            </w:r>
          </w:p>
        </w:tc>
        <w:tc>
          <w:tcPr>
            <w:tcW w:w="1112" w:type="dxa"/>
            <w:vAlign w:val="center"/>
          </w:tcPr>
          <w:p w14:paraId="07ACDDB7">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无</w:t>
            </w:r>
          </w:p>
        </w:tc>
        <w:tc>
          <w:tcPr>
            <w:tcW w:w="1592" w:type="dxa"/>
            <w:vAlign w:val="center"/>
          </w:tcPr>
          <w:p w14:paraId="0DC25AE0">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湖南省儿童医院</w:t>
            </w:r>
          </w:p>
        </w:tc>
        <w:tc>
          <w:tcPr>
            <w:tcW w:w="4192" w:type="dxa"/>
            <w:vAlign w:val="center"/>
          </w:tcPr>
          <w:p w14:paraId="7424E8FC">
            <w:pPr>
              <w:pStyle w:val="9"/>
              <w:snapToGrid w:val="0"/>
              <w:spacing w:before="27"/>
              <w:ind w:left="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负责本项目手术操作及病人术后跟踪随访，数据资料收集与分析，对重要科学发现中所列的第1、2、3、4项做出了实质性贡献。（论文6第二作者，论文5；8第五作者）</w:t>
            </w:r>
          </w:p>
        </w:tc>
      </w:tr>
      <w:tr w14:paraId="3B115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jc w:val="center"/>
        </w:trPr>
        <w:tc>
          <w:tcPr>
            <w:tcW w:w="895" w:type="dxa"/>
            <w:vAlign w:val="center"/>
          </w:tcPr>
          <w:p w14:paraId="55A2AED9">
            <w:pPr>
              <w:pStyle w:val="9"/>
              <w:snapToGrid w:val="0"/>
              <w:spacing w:before="179"/>
              <w:ind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陈文娟</w:t>
            </w:r>
          </w:p>
        </w:tc>
        <w:tc>
          <w:tcPr>
            <w:tcW w:w="712" w:type="dxa"/>
            <w:vAlign w:val="center"/>
          </w:tcPr>
          <w:p w14:paraId="5D1A92CC">
            <w:pPr>
              <w:pStyle w:val="9"/>
              <w:snapToGrid w:val="0"/>
              <w:spacing w:before="27"/>
              <w:ind w:left="4"/>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p>
        </w:tc>
        <w:tc>
          <w:tcPr>
            <w:tcW w:w="1267" w:type="dxa"/>
            <w:vAlign w:val="center"/>
          </w:tcPr>
          <w:p w14:paraId="5F7E7F63">
            <w:pPr>
              <w:pStyle w:val="9"/>
              <w:snapToGrid w:val="0"/>
              <w:spacing w:before="179"/>
              <w:ind w:left="4"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主任医师</w:t>
            </w:r>
          </w:p>
        </w:tc>
        <w:tc>
          <w:tcPr>
            <w:tcW w:w="1112" w:type="dxa"/>
            <w:vAlign w:val="center"/>
          </w:tcPr>
          <w:p w14:paraId="12E9ECA8">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无</w:t>
            </w:r>
          </w:p>
        </w:tc>
        <w:tc>
          <w:tcPr>
            <w:tcW w:w="1592" w:type="dxa"/>
            <w:vAlign w:val="center"/>
          </w:tcPr>
          <w:p w14:paraId="3328ADE4">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湖南省儿童医院</w:t>
            </w:r>
          </w:p>
        </w:tc>
        <w:tc>
          <w:tcPr>
            <w:tcW w:w="4192" w:type="dxa"/>
            <w:vAlign w:val="center"/>
          </w:tcPr>
          <w:p w14:paraId="3AA3DAE5">
            <w:pPr>
              <w:pStyle w:val="9"/>
              <w:snapToGrid w:val="0"/>
              <w:spacing w:before="27"/>
              <w:ind w:left="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负责本项目术前、术中、术后患儿的超声精确评估与随访追踪，与外科手术医生的对接交流，对重要科学发现中所列的第1、2、3、4项做出了实质性贡献。</w:t>
            </w:r>
            <w:r>
              <w:rPr>
                <w:rFonts w:hint="eastAsia" w:asciiTheme="minorEastAsia" w:hAnsiTheme="minorEastAsia" w:eastAsiaTheme="minorEastAsia" w:cstheme="minorEastAsia"/>
                <w:sz w:val="24"/>
                <w:szCs w:val="24"/>
              </w:rPr>
              <w:t>（论文1、2、3、4第二作者）</w:t>
            </w:r>
          </w:p>
        </w:tc>
      </w:tr>
      <w:tr w14:paraId="04427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jc w:val="center"/>
        </w:trPr>
        <w:tc>
          <w:tcPr>
            <w:tcW w:w="895" w:type="dxa"/>
            <w:vAlign w:val="center"/>
          </w:tcPr>
          <w:p w14:paraId="160DE8B3">
            <w:pPr>
              <w:pStyle w:val="9"/>
              <w:snapToGrid w:val="0"/>
              <w:spacing w:before="179"/>
              <w:ind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周梦洁</w:t>
            </w:r>
          </w:p>
        </w:tc>
        <w:tc>
          <w:tcPr>
            <w:tcW w:w="712" w:type="dxa"/>
            <w:vAlign w:val="center"/>
          </w:tcPr>
          <w:p w14:paraId="2EA4CF41">
            <w:pPr>
              <w:pStyle w:val="9"/>
              <w:snapToGrid w:val="0"/>
              <w:spacing w:before="27"/>
              <w:ind w:left="4"/>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6</w:t>
            </w:r>
          </w:p>
        </w:tc>
        <w:tc>
          <w:tcPr>
            <w:tcW w:w="1267" w:type="dxa"/>
            <w:vAlign w:val="center"/>
          </w:tcPr>
          <w:p w14:paraId="03AFBB3F">
            <w:pPr>
              <w:pStyle w:val="9"/>
              <w:snapToGrid w:val="0"/>
              <w:spacing w:before="179"/>
              <w:ind w:left="4"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主治医师</w:t>
            </w:r>
          </w:p>
        </w:tc>
        <w:tc>
          <w:tcPr>
            <w:tcW w:w="1112" w:type="dxa"/>
            <w:vAlign w:val="center"/>
          </w:tcPr>
          <w:p w14:paraId="07AF1012">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无</w:t>
            </w:r>
          </w:p>
        </w:tc>
        <w:tc>
          <w:tcPr>
            <w:tcW w:w="1592" w:type="dxa"/>
            <w:vAlign w:val="center"/>
          </w:tcPr>
          <w:p w14:paraId="62082E25">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湖南省儿童医院</w:t>
            </w:r>
          </w:p>
        </w:tc>
        <w:tc>
          <w:tcPr>
            <w:tcW w:w="4192" w:type="dxa"/>
            <w:vAlign w:val="center"/>
          </w:tcPr>
          <w:p w14:paraId="6EDF36B4">
            <w:pPr>
              <w:pStyle w:val="9"/>
              <w:snapToGrid w:val="0"/>
              <w:spacing w:before="27"/>
              <w:ind w:left="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负责本项目术前、术中、术后患儿的超声监测，数据统计，数据分析，对重要科学发现中所列的第1、2、3、4项做出了实质性贡献。（论文1、2、4第三作者）</w:t>
            </w:r>
          </w:p>
        </w:tc>
      </w:tr>
      <w:tr w14:paraId="3595B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56" w:type="dxa"/>
            <w:left w:w="96" w:type="dxa"/>
            <w:bottom w:w="56" w:type="dxa"/>
            <w:right w:w="96" w:type="dxa"/>
          </w:tblCellMar>
        </w:tblPrEx>
        <w:trPr>
          <w:trHeight w:val="0" w:hRule="atLeast"/>
          <w:jc w:val="center"/>
        </w:trPr>
        <w:tc>
          <w:tcPr>
            <w:tcW w:w="895" w:type="dxa"/>
            <w:vAlign w:val="center"/>
          </w:tcPr>
          <w:p w14:paraId="6AEB487A">
            <w:pPr>
              <w:pStyle w:val="9"/>
              <w:snapToGrid w:val="0"/>
              <w:spacing w:before="179"/>
              <w:ind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唐菊</w:t>
            </w:r>
          </w:p>
        </w:tc>
        <w:tc>
          <w:tcPr>
            <w:tcW w:w="712" w:type="dxa"/>
            <w:vAlign w:val="center"/>
          </w:tcPr>
          <w:p w14:paraId="5F484EE1">
            <w:pPr>
              <w:pStyle w:val="9"/>
              <w:snapToGrid w:val="0"/>
              <w:spacing w:before="27"/>
              <w:ind w:left="4"/>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7</w:t>
            </w:r>
          </w:p>
        </w:tc>
        <w:tc>
          <w:tcPr>
            <w:tcW w:w="1267" w:type="dxa"/>
            <w:vAlign w:val="center"/>
          </w:tcPr>
          <w:p w14:paraId="7406F091">
            <w:pPr>
              <w:pStyle w:val="9"/>
              <w:snapToGrid w:val="0"/>
              <w:spacing w:before="179"/>
              <w:ind w:left="4" w:right="-15"/>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主治医师</w:t>
            </w:r>
          </w:p>
        </w:tc>
        <w:tc>
          <w:tcPr>
            <w:tcW w:w="1112" w:type="dxa"/>
            <w:vAlign w:val="center"/>
          </w:tcPr>
          <w:p w14:paraId="4947DAEB">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无</w:t>
            </w:r>
          </w:p>
        </w:tc>
        <w:tc>
          <w:tcPr>
            <w:tcW w:w="1592" w:type="dxa"/>
            <w:vAlign w:val="center"/>
          </w:tcPr>
          <w:p w14:paraId="64A6471B">
            <w:pPr>
              <w:pStyle w:val="9"/>
              <w:snapToGrid w:val="0"/>
              <w:spacing w:before="27"/>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湖南省儿童医院</w:t>
            </w:r>
          </w:p>
        </w:tc>
        <w:tc>
          <w:tcPr>
            <w:tcW w:w="4192" w:type="dxa"/>
            <w:vAlign w:val="center"/>
          </w:tcPr>
          <w:p w14:paraId="5A02B990">
            <w:pPr>
              <w:pStyle w:val="9"/>
              <w:snapToGrid w:val="0"/>
              <w:spacing w:before="27"/>
              <w:ind w:left="7"/>
              <w:jc w:val="lef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负责本项目术前、术中、术后患儿的超声监测，数据统计，数据分析，对重要科学发现中所列的第1、2、3、4项做出了实质性贡献。（论文1、2第五作者）</w:t>
            </w:r>
          </w:p>
        </w:tc>
      </w:tr>
    </w:tbl>
    <w:p w14:paraId="71CAEAE0">
      <w:pPr>
        <w:spacing w:line="360" w:lineRule="auto"/>
        <w:rPr>
          <w:rFonts w:hint="eastAsia" w:asciiTheme="minorEastAsia" w:hAnsiTheme="minorEastAsia" w:eastAsiaTheme="minorEastAsia" w:cstheme="minorEastAsia"/>
          <w:color w:val="0D0D0D"/>
          <w:sz w:val="24"/>
          <w:szCs w:val="24"/>
        </w:rPr>
      </w:pPr>
    </w:p>
    <w:p w14:paraId="3EA857EC">
      <w:pPr>
        <w:spacing w:line="360" w:lineRule="auto"/>
        <w:ind w:firstLine="482" w:firstLineChars="200"/>
        <w:rPr>
          <w:rFonts w:hint="eastAsia" w:asciiTheme="minorEastAsia" w:hAnsiTheme="minorEastAsia" w:eastAsiaTheme="minorEastAsia" w:cstheme="minorEastAsia"/>
          <w:color w:val="0D0D0D"/>
          <w:sz w:val="24"/>
          <w:szCs w:val="24"/>
        </w:rPr>
      </w:pPr>
      <w:r>
        <w:rPr>
          <w:rFonts w:hint="eastAsia" w:asciiTheme="minorEastAsia" w:hAnsiTheme="minorEastAsia" w:eastAsiaTheme="minorEastAsia" w:cstheme="minorEastAsia"/>
          <w:b/>
          <w:bCs/>
          <w:color w:val="0D0D0D"/>
          <w:sz w:val="24"/>
          <w:szCs w:val="24"/>
        </w:rPr>
        <w:t>11.完成单位情况</w:t>
      </w:r>
      <w:r>
        <w:rPr>
          <w:rFonts w:hint="eastAsia" w:asciiTheme="minorEastAsia" w:hAnsiTheme="minorEastAsia" w:eastAsiaTheme="minorEastAsia" w:cstheme="minorEastAsia"/>
          <w:color w:val="0D0D0D"/>
          <w:sz w:val="24"/>
          <w:szCs w:val="24"/>
        </w:rPr>
        <w:t>，包括单位名称、排名，对本项目的贡献</w:t>
      </w:r>
    </w:p>
    <w:tbl>
      <w:tblPr>
        <w:tblStyle w:val="10"/>
        <w:tblW w:w="500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80" w:type="dxa"/>
          <w:left w:w="128" w:type="dxa"/>
          <w:bottom w:w="80" w:type="dxa"/>
          <w:right w:w="128" w:type="dxa"/>
        </w:tblCellMar>
      </w:tblPr>
      <w:tblGrid>
        <w:gridCol w:w="1251"/>
        <w:gridCol w:w="3951"/>
        <w:gridCol w:w="872"/>
        <w:gridCol w:w="2488"/>
      </w:tblGrid>
      <w:tr w14:paraId="266E1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80" w:type="dxa"/>
            <w:left w:w="128" w:type="dxa"/>
            <w:bottom w:w="80" w:type="dxa"/>
            <w:right w:w="128" w:type="dxa"/>
          </w:tblCellMar>
        </w:tblPrEx>
        <w:trPr>
          <w:trHeight w:val="0" w:hRule="atLeast"/>
          <w:jc w:val="center"/>
        </w:trPr>
        <w:tc>
          <w:tcPr>
            <w:tcW w:w="731" w:type="pct"/>
          </w:tcPr>
          <w:p w14:paraId="30A84D02">
            <w:pPr>
              <w:pStyle w:val="9"/>
              <w:snapToGrid w:val="0"/>
              <w:ind w:left="186" w:right="174"/>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单位名称</w:t>
            </w:r>
          </w:p>
        </w:tc>
        <w:tc>
          <w:tcPr>
            <w:tcW w:w="2307" w:type="pct"/>
          </w:tcPr>
          <w:p w14:paraId="439F2496">
            <w:pPr>
              <w:pStyle w:val="9"/>
              <w:snapToGrid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湖南省儿童医院 </w:t>
            </w:r>
          </w:p>
        </w:tc>
        <w:tc>
          <w:tcPr>
            <w:tcW w:w="509" w:type="pct"/>
          </w:tcPr>
          <w:p w14:paraId="4B4B66AF">
            <w:pPr>
              <w:pStyle w:val="9"/>
              <w:snapToGrid w:val="0"/>
              <w:ind w:left="35" w:right="22"/>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排名</w:t>
            </w:r>
          </w:p>
        </w:tc>
        <w:tc>
          <w:tcPr>
            <w:tcW w:w="1451" w:type="pct"/>
          </w:tcPr>
          <w:p w14:paraId="26AF1966">
            <w:pPr>
              <w:pStyle w:val="9"/>
              <w:snapToGrid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1  </w:t>
            </w:r>
          </w:p>
        </w:tc>
      </w:tr>
      <w:tr w14:paraId="62481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80" w:type="dxa"/>
            <w:left w:w="128" w:type="dxa"/>
            <w:bottom w:w="80" w:type="dxa"/>
            <w:right w:w="128" w:type="dxa"/>
          </w:tblCellMar>
        </w:tblPrEx>
        <w:trPr>
          <w:trHeight w:val="0" w:hRule="atLeast"/>
          <w:jc w:val="center"/>
        </w:trPr>
        <w:tc>
          <w:tcPr>
            <w:tcW w:w="5000" w:type="pct"/>
            <w:gridSpan w:val="4"/>
          </w:tcPr>
          <w:p w14:paraId="7B1F2670">
            <w:pPr>
              <w:pStyle w:val="9"/>
              <w:snapToGrid w:val="0"/>
              <w:spacing w:before="27"/>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对本项目主要贡献：（限600字）</w:t>
            </w:r>
          </w:p>
          <w:p w14:paraId="75128368">
            <w:pPr>
              <w:pStyle w:val="9"/>
              <w:snapToGrid w:val="0"/>
              <w:spacing w:before="4" w:line="300" w:lineRule="atLeast"/>
              <w:ind w:right="167"/>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我院小儿外科与超声科深度协同，作为国内较早系统开展儿童肝移植综合诊疗的中心，为本研究提供了关键的临床平台与技术支持。科室不仅积累了丰富的儿童肝移植术前评估及术后管理经验，更在研究中负责全程应用彩色多普勒与剪切波弹性成像技术进行动态监测，为建立无创评估体系贡献了核心病例数据与实践路径。这一工作的推进，有效促进了肝脏移植术后监测模式的优化，实现了科研成果向临床服务的有效转化，并通过技术下沉与培训，带动了区域儿童肝移植超声评估水平的整体提升。 </w:t>
            </w:r>
          </w:p>
        </w:tc>
      </w:tr>
    </w:tbl>
    <w:p w14:paraId="36D1FB73">
      <w:pPr>
        <w:spacing w:line="360" w:lineRule="auto"/>
        <w:rPr>
          <w:rFonts w:hint="eastAsia" w:asciiTheme="minorEastAsia" w:hAnsiTheme="minorEastAsia" w:eastAsiaTheme="minorEastAsia" w:cstheme="minorEastAsia"/>
          <w:sz w:val="24"/>
          <w:szCs w:val="24"/>
        </w:rPr>
      </w:pPr>
    </w:p>
    <w:p w14:paraId="58F8FC0D">
      <w:r>
        <w:br w:type="page"/>
      </w:r>
    </w:p>
    <w:p w14:paraId="7C1F2483">
      <w:pPr>
        <w:pStyle w:val="2"/>
        <w:jc w:val="center"/>
        <w:rPr>
          <w:rFonts w:hint="eastAsia" w:ascii="方正公文小标宋" w:hAnsi="方正公文小标宋" w:eastAsia="方正公文小标宋" w:cs="方正公文小标宋"/>
          <w:b/>
          <w:bCs/>
          <w:sz w:val="36"/>
          <w:szCs w:val="36"/>
          <w:lang w:val="en-US" w:eastAsia="zh-CN"/>
        </w:rPr>
      </w:pPr>
      <w:r>
        <w:rPr>
          <w:rFonts w:hint="eastAsia" w:ascii="方正公文小标宋" w:hAnsi="方正公文小标宋" w:eastAsia="方正公文小标宋" w:cs="方正公文小标宋"/>
          <w:b/>
          <w:bCs/>
          <w:sz w:val="36"/>
          <w:szCs w:val="36"/>
        </w:rPr>
        <w:t>第二十二届湖南医学科技奖</w:t>
      </w:r>
      <w:r>
        <w:rPr>
          <w:rFonts w:hint="eastAsia" w:ascii="方正公文小标宋" w:hAnsi="方正公文小标宋" w:eastAsia="方正公文小标宋" w:cs="方正公文小标宋"/>
          <w:b/>
          <w:bCs/>
          <w:sz w:val="36"/>
          <w:szCs w:val="36"/>
          <w:lang w:val="en-US" w:eastAsia="zh-CN"/>
        </w:rPr>
        <w:t>提名公示内容</w:t>
      </w:r>
    </w:p>
    <w:p w14:paraId="48277DB3">
      <w:pPr>
        <w:pStyle w:val="11"/>
        <w:numPr>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1.</w:t>
      </w:r>
      <w:r>
        <w:rPr>
          <w:rFonts w:hint="eastAsia" w:asciiTheme="minorEastAsia" w:hAnsiTheme="minorEastAsia" w:eastAsiaTheme="minorEastAsia" w:cstheme="minorEastAsia"/>
          <w:b/>
          <w:bCs/>
          <w:sz w:val="24"/>
          <w:szCs w:val="24"/>
        </w:rPr>
        <w:t>项目名称</w:t>
      </w:r>
      <w:r>
        <w:rPr>
          <w:rFonts w:hint="eastAsia" w:asciiTheme="minorEastAsia" w:hAnsiTheme="minorEastAsia" w:eastAsiaTheme="minorEastAsia" w:cstheme="minorEastAsia"/>
          <w:sz w:val="24"/>
          <w:szCs w:val="24"/>
        </w:rPr>
        <w:t xml:space="preserve"> 小儿日间手术围术期麻醉管理策略的应用及推广</w:t>
      </w:r>
    </w:p>
    <w:p w14:paraId="51144DD3">
      <w:pPr>
        <w:spacing w:line="360" w:lineRule="auto"/>
        <w:rPr>
          <w:rFonts w:hint="eastAsia" w:asciiTheme="minorEastAsia" w:hAnsiTheme="minorEastAsia" w:eastAsiaTheme="minorEastAsia" w:cstheme="minorEastAsia"/>
          <w:sz w:val="24"/>
          <w:szCs w:val="24"/>
        </w:rPr>
      </w:pPr>
    </w:p>
    <w:p w14:paraId="64D70A29">
      <w:pPr>
        <w:pStyle w:val="11"/>
        <w:numPr>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推荐单位</w:t>
      </w:r>
      <w:r>
        <w:rPr>
          <w:rFonts w:hint="eastAsia" w:asciiTheme="minorEastAsia" w:hAnsiTheme="minorEastAsia" w:eastAsiaTheme="minorEastAsia" w:cstheme="minorEastAsia"/>
          <w:sz w:val="24"/>
          <w:szCs w:val="24"/>
        </w:rPr>
        <w:t xml:space="preserve"> 湖南省儿童医院</w:t>
      </w:r>
    </w:p>
    <w:p w14:paraId="2E1172BD">
      <w:pPr>
        <w:spacing w:line="360" w:lineRule="auto"/>
        <w:rPr>
          <w:rFonts w:hint="eastAsia" w:asciiTheme="minorEastAsia" w:hAnsiTheme="minorEastAsia" w:eastAsiaTheme="minorEastAsia" w:cstheme="minorEastAsia"/>
          <w:sz w:val="24"/>
          <w:szCs w:val="24"/>
        </w:rPr>
      </w:pPr>
    </w:p>
    <w:p w14:paraId="02F014B7">
      <w:pPr>
        <w:pStyle w:val="11"/>
        <w:numPr>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3.</w:t>
      </w:r>
      <w:r>
        <w:rPr>
          <w:rFonts w:hint="eastAsia" w:asciiTheme="minorEastAsia" w:hAnsiTheme="minorEastAsia" w:eastAsiaTheme="minorEastAsia" w:cstheme="minorEastAsia"/>
          <w:b/>
          <w:bCs/>
          <w:sz w:val="24"/>
          <w:szCs w:val="24"/>
        </w:rPr>
        <w:t>推荐意见</w:t>
      </w:r>
      <w:r>
        <w:rPr>
          <w:rFonts w:hint="eastAsia" w:asciiTheme="minorEastAsia" w:hAnsiTheme="minorEastAsia" w:eastAsiaTheme="minorEastAsia" w:cstheme="minorEastAsia"/>
          <w:sz w:val="24"/>
          <w:szCs w:val="24"/>
        </w:rPr>
        <w:t xml:space="preserve"> </w:t>
      </w:r>
    </w:p>
    <w:p w14:paraId="3AC92C46">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我院小儿外科是目前国内专业设置齐全、技术先进的小儿外科危重疑难疾病诊治中心，每年完成各类手术近30000例，其中日间手术占比超过30%。我院的小儿日间手术的麻醉技术达到省内先进水平，手术种类包括腹腔镜下疝囊高扎术、腹腔镜下鞘状突高扎术、包皮环切术、腺样体扁桃体切除术、体表肿块切除术、多指切除术等。日间手术的顺利实施不仅能显著节约医疗成本，提高医院医疗资源使用效率，还能确保患儿平安舒适地接受手术麻醉，获得了患儿及其家属的广泛好评。我院在大力开展小儿日间手术医疗服务的同时，还通过在省内开展多学科合作模式，将该项技术推广至地市级医院，使更多的患儿能够受惠，提高省内整体的小儿日间手术麻醉医疗服务质量。</w:t>
      </w:r>
    </w:p>
    <w:p w14:paraId="6FEEB9C1">
      <w:pPr>
        <w:spacing w:line="360" w:lineRule="auto"/>
        <w:rPr>
          <w:rFonts w:hint="eastAsia" w:asciiTheme="minorEastAsia" w:hAnsiTheme="minorEastAsia" w:eastAsiaTheme="minorEastAsia" w:cstheme="minorEastAsia"/>
          <w:sz w:val="24"/>
          <w:szCs w:val="24"/>
        </w:rPr>
      </w:pPr>
    </w:p>
    <w:p w14:paraId="6F2FC148">
      <w:pPr>
        <w:pStyle w:val="11"/>
        <w:numPr>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4.</w:t>
      </w:r>
      <w:r>
        <w:rPr>
          <w:rFonts w:hint="eastAsia" w:asciiTheme="minorEastAsia" w:hAnsiTheme="minorEastAsia" w:eastAsiaTheme="minorEastAsia" w:cstheme="minorEastAsia"/>
          <w:b/>
          <w:bCs/>
          <w:sz w:val="24"/>
          <w:szCs w:val="24"/>
        </w:rPr>
        <w:t>项目简介</w:t>
      </w:r>
      <w:r>
        <w:rPr>
          <w:rFonts w:hint="eastAsia" w:asciiTheme="minorEastAsia" w:hAnsiTheme="minorEastAsia" w:eastAsiaTheme="minorEastAsia" w:cstheme="minorEastAsia"/>
          <w:sz w:val="24"/>
          <w:szCs w:val="24"/>
        </w:rPr>
        <w:t xml:space="preserve"> </w:t>
      </w:r>
    </w:p>
    <w:p w14:paraId="6C050310">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研究内容（目的、方法、结果）：日间手术模式可提高医疗效率，实现医疗资源利用最大化，近年来在国内日益普及。但小儿日间手术麻醉风险较高，如何保障医疗质量与安全是临床亟待解决的问题。本项目通过采用特定药物及技术方法，优化小儿日间手术围术期麻醉管理策略，解决当前小儿日间手术麻醉管理中存在的部分问题，以保障日间手术患儿安全，提升患者满意度。研究结果如下：①小剂量的右美托咪定持续泵注不会显著增加日间手术儿童七氟烷麻醉深度，但能改善患儿单肺通气的氧合功能，减少炎症反应及氧化应激；和等效剂量的芬太尼相比，麻醉诱导时单次静注小剂量的舒芬太尼可减轻日间手术儿童全麻苏醒期躁动；②在儿童腹腔镜日间手术中，复合神经肌肉阻滞与硬膜外阻滞，能够改善手术条件、减少麻醉药用量，并显著降低麻醉诱导及维持期不良事件发生率；日间手术使用舒更葡糖钠拮抗罗库溴铵，不仅能缩短病人的拔管时间，还能降低拔管后呼吸道不良事件的发生率；③可视化技术在日间手术小儿中的应用，是一种安全、高效的方法；④醋酸钠林格注射液可作为小儿日间手术中安全、有效的补液选择；⑤制定完善的镇痛方案，可减少小儿日间手术后延迟离院与非计划性住院的发生率，提高日间手术效率与质量。 </w:t>
      </w:r>
    </w:p>
    <w:p w14:paraId="498B9A48">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科学创新点：小儿日间手术在国内仍处于起步阶段，急需建立日间手术麻醉与围术期管理规范，以改进和提高麻醉医疗质量。本项目创新性地从小儿日间手术的术前用药、术中麻醉技术应用、术中液体管理、术后镇痛和不良事件的防治等多个方面，来探索适合小儿的日间手术及麻醉管理模式。</w:t>
      </w:r>
    </w:p>
    <w:p w14:paraId="00E6257A">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科学价值：本项目小儿日间手术麻醉管理策略的应用和推广既能满足小儿日间手术的需求、又有利于患者术后早期出院和快速康复。建立小儿日间手术麻醉规范，提高围术期管理质量，优化日间手术麻醉方法和管理模式，可显著提高小儿日间手术的有效性和安全性。</w:t>
      </w:r>
    </w:p>
    <w:p w14:paraId="66F6B4EF">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社会效益：规范小儿日间手术麻醉管理策略，可以保障日间手术顺利开展，提高医疗资源利用效率，使得更多的患者得到及时治疗。患儿和家属的满意度得到了显著提升，带来了较好的社会效益。 </w:t>
      </w:r>
    </w:p>
    <w:p w14:paraId="0209F004">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经济效益：我院每年小儿日间手术量平均约为10,000例，手术周转快。本项目的应用和推广具有降低医疗费用、减轻患者和医保经济负担，减少院内感染机会和工作日损失等优势。提高手术效率，降低医疗成本，可间接产生巨大的经济效益。</w:t>
      </w:r>
    </w:p>
    <w:p w14:paraId="6D6C0A26">
      <w:pPr>
        <w:spacing w:line="360" w:lineRule="auto"/>
        <w:rPr>
          <w:rFonts w:hint="eastAsia" w:asciiTheme="minorEastAsia" w:hAnsiTheme="minorEastAsia" w:eastAsiaTheme="minorEastAsia" w:cstheme="minorEastAsia"/>
          <w:sz w:val="24"/>
          <w:szCs w:val="24"/>
        </w:rPr>
      </w:pPr>
    </w:p>
    <w:p w14:paraId="3636AB86">
      <w:pPr>
        <w:pStyle w:val="11"/>
        <w:numPr>
          <w:numId w:val="0"/>
        </w:numPr>
        <w:spacing w:line="360" w:lineRule="auto"/>
        <w:ind w:leftChars="0"/>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5.</w:t>
      </w:r>
      <w:r>
        <w:rPr>
          <w:rFonts w:hint="eastAsia" w:asciiTheme="minorEastAsia" w:hAnsiTheme="minorEastAsia" w:eastAsiaTheme="minorEastAsia" w:cstheme="minorEastAsia"/>
          <w:b/>
          <w:bCs/>
          <w:sz w:val="24"/>
          <w:szCs w:val="24"/>
        </w:rPr>
        <w:t>代表性论文目录</w:t>
      </w:r>
    </w:p>
    <w:p w14:paraId="6AEC5593">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471160" cy="7112000"/>
            <wp:effectExtent l="0" t="0" r="15240" b="12700"/>
            <wp:docPr id="1965240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40943" name="图片 1"/>
                    <pic:cNvPicPr>
                      <a:picLocks noChangeAspect="1"/>
                    </pic:cNvPicPr>
                  </pic:nvPicPr>
                  <pic:blipFill>
                    <a:blip r:embed="rId4"/>
                    <a:stretch>
                      <a:fillRect/>
                    </a:stretch>
                  </pic:blipFill>
                  <pic:spPr>
                    <a:xfrm>
                      <a:off x="0" y="0"/>
                      <a:ext cx="5471160" cy="7112000"/>
                    </a:xfrm>
                    <a:prstGeom prst="rect">
                      <a:avLst/>
                    </a:prstGeom>
                  </pic:spPr>
                </pic:pic>
              </a:graphicData>
            </a:graphic>
          </wp:inline>
        </w:drawing>
      </w:r>
    </w:p>
    <w:p w14:paraId="5FED35E3">
      <w:pPr>
        <w:spacing w:line="360" w:lineRule="auto"/>
        <w:rPr>
          <w:rFonts w:hint="eastAsia" w:asciiTheme="minorEastAsia" w:hAnsiTheme="minorEastAsia" w:eastAsiaTheme="minorEastAsia" w:cstheme="minorEastAsia"/>
          <w:sz w:val="24"/>
          <w:szCs w:val="24"/>
        </w:rPr>
      </w:pPr>
    </w:p>
    <w:p w14:paraId="74F45C78">
      <w:pPr>
        <w:pStyle w:val="11"/>
        <w:numPr>
          <w:numId w:val="0"/>
        </w:numPr>
        <w:spacing w:line="360" w:lineRule="auto"/>
        <w:ind w:leftChars="0"/>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6.</w:t>
      </w:r>
      <w:r>
        <w:rPr>
          <w:rFonts w:hint="eastAsia" w:asciiTheme="minorEastAsia" w:hAnsiTheme="minorEastAsia" w:eastAsiaTheme="minorEastAsia" w:cstheme="minorEastAsia"/>
          <w:b/>
          <w:bCs/>
          <w:sz w:val="24"/>
          <w:szCs w:val="24"/>
        </w:rPr>
        <w:t>知识产权证明目录</w:t>
      </w:r>
    </w:p>
    <w:p w14:paraId="4F1C2262">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520690" cy="1010285"/>
            <wp:effectExtent l="0" t="0" r="3810" b="18415"/>
            <wp:docPr id="1805729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29910" name="图片 1"/>
                    <pic:cNvPicPr>
                      <a:picLocks noChangeAspect="1"/>
                    </pic:cNvPicPr>
                  </pic:nvPicPr>
                  <pic:blipFill>
                    <a:blip r:embed="rId5"/>
                    <a:stretch>
                      <a:fillRect/>
                    </a:stretch>
                  </pic:blipFill>
                  <pic:spPr>
                    <a:xfrm>
                      <a:off x="0" y="0"/>
                      <a:ext cx="5520690" cy="1010285"/>
                    </a:xfrm>
                    <a:prstGeom prst="rect">
                      <a:avLst/>
                    </a:prstGeom>
                  </pic:spPr>
                </pic:pic>
              </a:graphicData>
            </a:graphic>
          </wp:inline>
        </w:drawing>
      </w:r>
    </w:p>
    <w:p w14:paraId="619724F8">
      <w:pPr>
        <w:spacing w:line="360" w:lineRule="auto"/>
        <w:rPr>
          <w:rFonts w:hint="eastAsia" w:asciiTheme="minorEastAsia" w:hAnsiTheme="minorEastAsia" w:eastAsiaTheme="minorEastAsia" w:cstheme="minorEastAsia"/>
          <w:sz w:val="24"/>
          <w:szCs w:val="24"/>
        </w:rPr>
      </w:pPr>
    </w:p>
    <w:p w14:paraId="51B0315C">
      <w:pPr>
        <w:pStyle w:val="11"/>
        <w:numPr>
          <w:numId w:val="0"/>
        </w:numPr>
        <w:spacing w:line="360" w:lineRule="auto"/>
        <w:ind w:leftChars="0"/>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7.</w:t>
      </w:r>
      <w:r>
        <w:rPr>
          <w:rFonts w:hint="eastAsia" w:asciiTheme="minorEastAsia" w:hAnsiTheme="minorEastAsia" w:eastAsiaTheme="minorEastAsia" w:cstheme="minorEastAsia"/>
          <w:b/>
          <w:bCs/>
          <w:sz w:val="24"/>
          <w:szCs w:val="24"/>
        </w:rPr>
        <w:t>科研基金计划、基金目录</w:t>
      </w:r>
    </w:p>
    <w:p w14:paraId="0946AD8A">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814695" cy="2561590"/>
            <wp:effectExtent l="0" t="0" r="14605" b="10160"/>
            <wp:docPr id="1190496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96913" name="图片 1"/>
                    <pic:cNvPicPr>
                      <a:picLocks noChangeAspect="1"/>
                    </pic:cNvPicPr>
                  </pic:nvPicPr>
                  <pic:blipFill>
                    <a:blip r:embed="rId6"/>
                    <a:stretch>
                      <a:fillRect/>
                    </a:stretch>
                  </pic:blipFill>
                  <pic:spPr>
                    <a:xfrm>
                      <a:off x="0" y="0"/>
                      <a:ext cx="5814695" cy="2561590"/>
                    </a:xfrm>
                    <a:prstGeom prst="rect">
                      <a:avLst/>
                    </a:prstGeom>
                  </pic:spPr>
                </pic:pic>
              </a:graphicData>
            </a:graphic>
          </wp:inline>
        </w:drawing>
      </w:r>
    </w:p>
    <w:p w14:paraId="097C528A">
      <w:pPr>
        <w:spacing w:line="360" w:lineRule="auto"/>
        <w:rPr>
          <w:rFonts w:hint="eastAsia" w:asciiTheme="minorEastAsia" w:hAnsiTheme="minorEastAsia" w:eastAsiaTheme="minorEastAsia" w:cstheme="minorEastAsia"/>
          <w:sz w:val="24"/>
          <w:szCs w:val="24"/>
        </w:rPr>
      </w:pPr>
    </w:p>
    <w:p w14:paraId="142C0F41">
      <w:pPr>
        <w:pStyle w:val="11"/>
        <w:numPr>
          <w:numId w:val="0"/>
        </w:numPr>
        <w:spacing w:line="360" w:lineRule="auto"/>
        <w:ind w:leftChars="0"/>
        <w:rPr>
          <w:rFonts w:hint="eastAsia" w:asciiTheme="minorEastAsia" w:hAnsiTheme="minorEastAsia" w:eastAsiaTheme="minorEastAsia" w:cstheme="minorEastAsia"/>
          <w:b/>
          <w:bCs/>
          <w:sz w:val="24"/>
          <w:szCs w:val="24"/>
        </w:rPr>
      </w:pPr>
      <w:r>
        <w:rPr>
          <w:rFonts w:hint="eastAsia" w:asciiTheme="minorEastAsia" w:hAnsiTheme="minorEastAsia" w:cstheme="minorEastAsia"/>
          <w:b/>
          <w:bCs/>
          <w:sz w:val="24"/>
          <w:szCs w:val="24"/>
          <w:lang w:val="en-US" w:eastAsia="zh-CN"/>
        </w:rPr>
        <w:t>8.</w:t>
      </w:r>
      <w:r>
        <w:rPr>
          <w:rFonts w:hint="eastAsia" w:asciiTheme="minorEastAsia" w:hAnsiTheme="minorEastAsia" w:eastAsiaTheme="minorEastAsia" w:cstheme="minorEastAsia"/>
          <w:b/>
          <w:bCs/>
          <w:sz w:val="24"/>
          <w:szCs w:val="24"/>
        </w:rPr>
        <w:t>应用单位目录</w:t>
      </w:r>
    </w:p>
    <w:p w14:paraId="483F7678">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817235" cy="3258820"/>
            <wp:effectExtent l="0" t="0" r="12065" b="17780"/>
            <wp:docPr id="1686757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57676" name="图片 1"/>
                    <pic:cNvPicPr>
                      <a:picLocks noChangeAspect="1"/>
                    </pic:cNvPicPr>
                  </pic:nvPicPr>
                  <pic:blipFill>
                    <a:blip r:embed="rId7"/>
                    <a:stretch>
                      <a:fillRect/>
                    </a:stretch>
                  </pic:blipFill>
                  <pic:spPr>
                    <a:xfrm>
                      <a:off x="0" y="0"/>
                      <a:ext cx="5817235" cy="3258820"/>
                    </a:xfrm>
                    <a:prstGeom prst="rect">
                      <a:avLst/>
                    </a:prstGeom>
                  </pic:spPr>
                </pic:pic>
              </a:graphicData>
            </a:graphic>
          </wp:inline>
        </w:drawing>
      </w:r>
    </w:p>
    <w:p w14:paraId="5FECE8E8">
      <w:pPr>
        <w:spacing w:line="360" w:lineRule="auto"/>
        <w:rPr>
          <w:rFonts w:hint="eastAsia" w:asciiTheme="minorEastAsia" w:hAnsiTheme="minorEastAsia" w:eastAsiaTheme="minorEastAsia" w:cstheme="minorEastAsia"/>
          <w:b/>
          <w:bCs/>
          <w:sz w:val="24"/>
          <w:szCs w:val="24"/>
        </w:rPr>
      </w:pPr>
    </w:p>
    <w:p w14:paraId="57AF1B41">
      <w:pPr>
        <w:pStyle w:val="11"/>
        <w:numPr>
          <w:numId w:val="0"/>
        </w:numPr>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b/>
          <w:bCs/>
          <w:sz w:val="24"/>
          <w:szCs w:val="24"/>
          <w:lang w:val="en-US" w:eastAsia="zh-CN"/>
        </w:rPr>
        <w:t>9.</w:t>
      </w:r>
      <w:r>
        <w:rPr>
          <w:rFonts w:hint="eastAsia" w:asciiTheme="minorEastAsia" w:hAnsiTheme="minorEastAsia" w:eastAsiaTheme="minorEastAsia" w:cstheme="minorEastAsia"/>
          <w:b/>
          <w:bCs/>
          <w:sz w:val="24"/>
          <w:szCs w:val="24"/>
        </w:rPr>
        <w:t>科普作品目录</w:t>
      </w:r>
      <w:r>
        <w:rPr>
          <w:rFonts w:hint="eastAsia" w:asciiTheme="minorEastAsia" w:hAnsiTheme="minorEastAsia" w:cstheme="minorEastAsia"/>
          <w:sz w:val="24"/>
          <w:szCs w:val="24"/>
          <w:lang w:val="en-US" w:eastAsia="zh-CN"/>
        </w:rPr>
        <w:t xml:space="preserve"> 无</w:t>
      </w:r>
    </w:p>
    <w:p w14:paraId="656B78C6">
      <w:pPr>
        <w:spacing w:line="360" w:lineRule="auto"/>
        <w:rPr>
          <w:rFonts w:hint="eastAsia" w:asciiTheme="minorEastAsia" w:hAnsiTheme="minorEastAsia" w:eastAsiaTheme="minorEastAsia" w:cstheme="minorEastAsia"/>
          <w:sz w:val="24"/>
          <w:szCs w:val="24"/>
        </w:rPr>
      </w:pPr>
    </w:p>
    <w:p w14:paraId="5592AC49">
      <w:pPr>
        <w:pStyle w:val="11"/>
        <w:numPr>
          <w:numId w:val="0"/>
        </w:numPr>
        <w:spacing w:line="360" w:lineRule="auto"/>
        <w:ind w:leftChars="0"/>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10.</w:t>
      </w:r>
      <w:r>
        <w:rPr>
          <w:rFonts w:hint="eastAsia" w:asciiTheme="minorEastAsia" w:hAnsiTheme="minorEastAsia" w:eastAsiaTheme="minorEastAsia" w:cstheme="minorEastAsia"/>
          <w:b/>
          <w:bCs/>
          <w:sz w:val="24"/>
          <w:szCs w:val="24"/>
        </w:rPr>
        <w:t>完成人情况</w:t>
      </w:r>
      <w:r>
        <w:rPr>
          <w:rFonts w:hint="eastAsia" w:asciiTheme="minorEastAsia" w:hAnsiTheme="minorEastAsia" w:eastAsiaTheme="minorEastAsia" w:cstheme="minorEastAsia"/>
          <w:sz w:val="24"/>
          <w:szCs w:val="24"/>
        </w:rPr>
        <w:t>，包括姓名、排名、职称、行政职务、工作单位、对本项目的贡献</w:t>
      </w:r>
    </w:p>
    <w:p w14:paraId="2CCDC8F0">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杜真 主任医师 科主任 湖南省儿童医院 负责该项目的整体设计和指导实施，对科学发现有重要贡献（重要学科发现中的第1、3、4和5项做出了实质性的贡献）。支撑材料：主持科研基金项目1、5，参与科研基金项目2、3；发表多篇主要论文（论文1、8、9通讯作者，论文6、10第一作者，论文11作者之一）；参与申报专利1。</w:t>
      </w:r>
    </w:p>
    <w:p w14:paraId="39C1E9CA">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刘晶晶 </w:t>
      </w:r>
      <w:bookmarkStart w:id="0" w:name="_Hlk212667967"/>
      <w:r>
        <w:rPr>
          <w:rFonts w:hint="eastAsia" w:asciiTheme="minorEastAsia" w:hAnsiTheme="minorEastAsia" w:eastAsiaTheme="minorEastAsia" w:cstheme="minorEastAsia"/>
          <w:sz w:val="24"/>
          <w:szCs w:val="24"/>
        </w:rPr>
        <w:t>副主任医师 无 湖南省儿童医院</w:t>
      </w:r>
      <w:bookmarkEnd w:id="0"/>
      <w:r>
        <w:rPr>
          <w:rFonts w:hint="eastAsia" w:asciiTheme="minorEastAsia" w:hAnsiTheme="minorEastAsia" w:eastAsiaTheme="minorEastAsia" w:cstheme="minorEastAsia"/>
          <w:sz w:val="24"/>
          <w:szCs w:val="24"/>
        </w:rPr>
        <w:t xml:space="preserve"> 汇总所有资料和数据，统计分析，负责课题结题、课题鉴定申请等表格填写和总结工作，对科学发现有重要贡献（重要学科发现中的第2项做出了实质性的贡献）。支撑材料：发表多篇主要论文（论文3、4第一作者）。</w:t>
      </w:r>
    </w:p>
    <w:p w14:paraId="235CF33F">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朱诗利 副主任医师 无 湖南省儿童医院 负责前期工作的准备，参与项目设计和具体实施，收集病例数据，发表了论文并获得专利。支撑材料：参与论文发表（论文3作者之一），申报专利2、3、4。</w:t>
      </w:r>
    </w:p>
    <w:p w14:paraId="508BDBA1">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朱义 副主任医师 无 湖南省儿童医院 朱义在本项目的临床应用和研究中做了一定的工作，参与课题设计和数据的收集，发表相关重要论文。支撑材料：主持科研基金项目4；发表了多篇主要论文（论文5第一作者，论文7作者之一）。</w:t>
      </w:r>
    </w:p>
    <w:p w14:paraId="3DD5F69F">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屈双权 主任医师 副院长 湖南省儿童医院 屈双权在本项目的临床应用和实施中制定相关的流程，指导医护人员具体实施。支撑材料：发表多篇主要论文（论文2、9、10、11通讯作者，论文4、5、6、8作者之一）；参与申报专利1。</w:t>
      </w:r>
    </w:p>
    <w:p w14:paraId="43915171">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肖婷 主任医师 副科主任 湖南省儿童医院 肖婷参与课题设计和标书撰写，负责病例采集和统计数据，并负责部分研究技术的教学和应用推广工作。支撑材料：主持科研基金项目2；发表多篇主要论文（论文2第一作者，论文4、11、12作者之一）；参与申报专利1。</w:t>
      </w:r>
    </w:p>
    <w:p w14:paraId="58CEDA39">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陈政 主任医师 副科主任 湖南省儿童医院 陈政参与课题设计和数据的收集，发表相关重要论文。支撑材料：主持科研基金项目3；发表多篇主要论文（论文7第一作者，论文12通讯作者，论文1、8、9作者之一）；参与申报专利1。</w:t>
      </w:r>
    </w:p>
    <w:p w14:paraId="6DD62F7C">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向珍 主治医师 无 湖南省儿童医院 向珍负责本项目中儿童的麻醉实施以及数据的收集，发表相关重要论文。支撑材料：发表多篇主要论文（论文1第一作者，论文8、9、10作者之一）。</w:t>
      </w:r>
    </w:p>
    <w:p w14:paraId="6BB42856">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唐玲 副主任医师 无 湖南省儿童医院 唐玲负责本项目中儿童的麻醉实施，参与课题设计和数据的收集。支撑材料：主持科研基金项目6；发表1篇组要论文（论文11第一作者）。</w:t>
      </w:r>
    </w:p>
    <w:p w14:paraId="53024579">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吴磊 主治医师 无 湖南省儿童医院 吴磊负责本项目中儿童数据的统计和分析，发表相关论文。支撑材料：发表多篇主要论文（论文8、9第一作者，论文1、10作者之一）。</w:t>
      </w:r>
    </w:p>
    <w:p w14:paraId="30E152A1">
      <w:pPr>
        <w:pStyle w:val="11"/>
        <w:numPr>
          <w:ilvl w:val="0"/>
          <w:numId w:val="1"/>
        </w:num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李灵晴 主治医师 无 湖南省儿童医院 李灵晴负责本项目中儿童数据的统计和分析，发表相关论文1篇。支撑材料：发表1篇主要论文（论文12第一作者）。</w:t>
      </w:r>
    </w:p>
    <w:p w14:paraId="01BE921C">
      <w:pPr>
        <w:spacing w:line="360" w:lineRule="auto"/>
        <w:rPr>
          <w:rFonts w:hint="eastAsia" w:asciiTheme="minorEastAsia" w:hAnsiTheme="minorEastAsia" w:eastAsiaTheme="minorEastAsia" w:cstheme="minorEastAsia"/>
          <w:sz w:val="24"/>
          <w:szCs w:val="24"/>
        </w:rPr>
      </w:pPr>
    </w:p>
    <w:p w14:paraId="1656D88C">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cstheme="minorEastAsia"/>
          <w:b/>
          <w:bCs/>
          <w:sz w:val="24"/>
          <w:szCs w:val="24"/>
          <w:lang w:val="en-US" w:eastAsia="zh-CN"/>
        </w:rPr>
        <w:t>11.</w:t>
      </w:r>
      <w:r>
        <w:rPr>
          <w:rFonts w:hint="eastAsia" w:asciiTheme="minorEastAsia" w:hAnsiTheme="minorEastAsia" w:eastAsiaTheme="minorEastAsia" w:cstheme="minorEastAsia"/>
          <w:b/>
          <w:bCs/>
          <w:sz w:val="24"/>
          <w:szCs w:val="24"/>
        </w:rPr>
        <w:t xml:space="preserve"> 完成单位情况</w:t>
      </w:r>
      <w:r>
        <w:rPr>
          <w:rFonts w:hint="eastAsia" w:asciiTheme="minorEastAsia" w:hAnsiTheme="minorEastAsia" w:eastAsiaTheme="minorEastAsia" w:cstheme="minorEastAsia"/>
          <w:sz w:val="24"/>
          <w:szCs w:val="24"/>
        </w:rPr>
        <w:t>，包括单位名称、排名，对本项目的贡献</w:t>
      </w:r>
    </w:p>
    <w:p w14:paraId="3C7F19C3">
      <w:pPr>
        <w:spacing w:line="360" w:lineRule="auto"/>
      </w:pPr>
      <w:r>
        <w:rPr>
          <w:rFonts w:hint="eastAsia" w:asciiTheme="minorEastAsia" w:hAnsiTheme="minorEastAsia" w:eastAsiaTheme="minorEastAsia" w:cstheme="minorEastAsia"/>
          <w:sz w:val="24"/>
          <w:szCs w:val="24"/>
        </w:rPr>
        <w:t>湖南省儿童医院</w:t>
      </w:r>
      <w:r>
        <w:rPr>
          <w:rFonts w:hint="eastAsia" w:asciiTheme="minorEastAsia" w:hAnsiTheme="minorEastAsia" w:cstheme="minorEastAsia"/>
          <w:sz w:val="24"/>
          <w:szCs w:val="24"/>
          <w:lang w:eastAsia="zh-CN"/>
        </w:rPr>
        <w:t>，</w:t>
      </w:r>
      <w:r>
        <w:rPr>
          <w:rFonts w:hint="eastAsia" w:asciiTheme="minorEastAsia" w:hAnsiTheme="minorEastAsia" w:cstheme="minorEastAsia"/>
          <w:sz w:val="24"/>
          <w:szCs w:val="24"/>
          <w:lang w:val="en-US" w:eastAsia="zh-CN"/>
        </w:rPr>
        <w:t>排名1。贡献：</w:t>
      </w:r>
      <w:r>
        <w:rPr>
          <w:rFonts w:hint="eastAsia" w:asciiTheme="minorEastAsia" w:hAnsiTheme="minorEastAsia" w:eastAsiaTheme="minorEastAsia" w:cstheme="minorEastAsia"/>
          <w:sz w:val="24"/>
          <w:szCs w:val="24"/>
        </w:rPr>
        <w:t xml:space="preserve"> 湖南省儿童医院为该项目实施的主要机构。我院小儿外科是目前国内专业设置齐全、技术先进的小儿外科危重疑难疾病诊治中心，每年完成各类手术近30000例，其中日间手术占比超过30%。我院的小儿日间手术的麻醉技术达到省内先进水平，手术种类包括腹腔镜下疝囊高扎术、腹腔镜下鞘状突高扎术、包皮环切术、腺样体扁桃体切除术、体表肿块切除术、多指切除术等。日间手术的顺利实施不仅能显著节约医疗成本，提高医院医疗资源使用效率，还能确保患儿平安舒适地接受手术麻醉，获得了患儿及其家属的广泛好评。我院在大力开展小儿日间手术医疗服务的同时，还通过在省内开展多学科合作模式，将该项技术推广至地市级医院，使更多的患儿能够受惠，提高省内整体的小儿日间手术麻醉医疗服务质量。</w:t>
      </w:r>
    </w:p>
    <w:p w14:paraId="78F2BE60">
      <w:pPr>
        <w:rPr>
          <w:rFonts w:hint="eastAsia" w:ascii="方正公文小标宋" w:hAnsi="方正公文小标宋" w:eastAsia="方正公文小标宋" w:cs="方正公文小标宋"/>
          <w:b/>
          <w:bCs/>
          <w:sz w:val="36"/>
          <w:szCs w:val="36"/>
        </w:rPr>
      </w:pPr>
      <w:r>
        <w:rPr>
          <w:rFonts w:hint="eastAsia" w:ascii="方正公文小标宋" w:hAnsi="方正公文小标宋" w:eastAsia="方正公文小标宋" w:cs="方正公文小标宋"/>
          <w:b/>
          <w:bCs/>
          <w:sz w:val="36"/>
          <w:szCs w:val="36"/>
        </w:rPr>
        <w:br w:type="page"/>
      </w:r>
    </w:p>
    <w:p w14:paraId="64D4FF9F">
      <w:pPr>
        <w:pStyle w:val="2"/>
        <w:jc w:val="center"/>
        <w:rPr>
          <w:rFonts w:hint="eastAsia" w:ascii="方正公文小标宋" w:hAnsi="方正公文小标宋" w:eastAsia="方正公文小标宋" w:cs="方正公文小标宋"/>
          <w:b/>
          <w:bCs/>
          <w:sz w:val="36"/>
          <w:szCs w:val="36"/>
          <w:lang w:val="en-US" w:eastAsia="zh-CN"/>
        </w:rPr>
      </w:pPr>
      <w:r>
        <w:rPr>
          <w:rFonts w:hint="eastAsia" w:ascii="方正公文小标宋" w:hAnsi="方正公文小标宋" w:eastAsia="方正公文小标宋" w:cs="方正公文小标宋"/>
          <w:b/>
          <w:bCs/>
          <w:sz w:val="36"/>
          <w:szCs w:val="36"/>
        </w:rPr>
        <w:t>第二十二届湖南医学科技奖</w:t>
      </w:r>
      <w:r>
        <w:rPr>
          <w:rFonts w:hint="eastAsia" w:ascii="方正公文小标宋" w:hAnsi="方正公文小标宋" w:eastAsia="方正公文小标宋" w:cs="方正公文小标宋"/>
          <w:b/>
          <w:bCs/>
          <w:sz w:val="36"/>
          <w:szCs w:val="36"/>
          <w:lang w:val="en-US" w:eastAsia="zh-CN"/>
        </w:rPr>
        <w:t>提名公示内容</w:t>
      </w:r>
    </w:p>
    <w:p w14:paraId="5A23B5E6">
      <w:pPr>
        <w:spacing w:line="360" w:lineRule="auto"/>
        <w:ind w:firstLine="482" w:firstLineChars="200"/>
        <w:rPr>
          <w:rFonts w:hint="eastAsia" w:ascii="Times New Roman" w:hAnsi="Times New Roman"/>
          <w:color w:val="0D0D0D"/>
          <w:sz w:val="24"/>
        </w:rPr>
      </w:pPr>
      <w:r>
        <w:rPr>
          <w:rFonts w:ascii="Times New Roman" w:hAnsi="Times New Roman"/>
          <w:b/>
          <w:bCs/>
          <w:color w:val="0D0D0D"/>
          <w:sz w:val="24"/>
        </w:rPr>
        <w:t>1.项目名称</w:t>
      </w:r>
      <w:r>
        <w:rPr>
          <w:rFonts w:hint="eastAsia" w:ascii="Times New Roman" w:hAnsi="Times New Roman"/>
          <w:b/>
          <w:bCs/>
          <w:color w:val="0D0D0D"/>
          <w:sz w:val="24"/>
        </w:rPr>
        <w:t>：</w:t>
      </w:r>
      <w:r>
        <w:rPr>
          <w:rFonts w:hint="eastAsia" w:ascii="Times New Roman" w:hAnsi="Times New Roman" w:eastAsia="宋体" w:cs="Times New Roman"/>
          <w:color w:val="0D0D0D"/>
          <w:sz w:val="24"/>
        </w:rPr>
        <w:t>先天性胫骨假关节发病机制及治疗策略研究</w:t>
      </w:r>
    </w:p>
    <w:p w14:paraId="3C19D7D9">
      <w:pPr>
        <w:spacing w:line="360" w:lineRule="auto"/>
        <w:ind w:firstLine="482" w:firstLineChars="200"/>
        <w:rPr>
          <w:rFonts w:ascii="Times New Roman" w:hAnsi="Times New Roman"/>
          <w:color w:val="0D0D0D"/>
          <w:sz w:val="24"/>
        </w:rPr>
      </w:pPr>
      <w:r>
        <w:rPr>
          <w:rFonts w:ascii="Times New Roman" w:hAnsi="Times New Roman"/>
          <w:b/>
          <w:bCs/>
          <w:color w:val="0D0D0D"/>
          <w:sz w:val="24"/>
        </w:rPr>
        <w:t>2.推荐单位</w:t>
      </w:r>
      <w:r>
        <w:rPr>
          <w:rFonts w:hint="eastAsia" w:ascii="Times New Roman" w:hAnsi="Times New Roman"/>
          <w:b/>
          <w:bCs/>
          <w:color w:val="0D0D0D"/>
          <w:sz w:val="24"/>
        </w:rPr>
        <w:t>：</w:t>
      </w:r>
      <w:r>
        <w:rPr>
          <w:rFonts w:hint="eastAsia" w:ascii="Times New Roman" w:hAnsi="Times New Roman"/>
          <w:color w:val="0D0D0D"/>
          <w:sz w:val="24"/>
        </w:rPr>
        <w:t>湖南省儿童医院（中南大学湘雅医学院附属儿童医院）</w:t>
      </w:r>
    </w:p>
    <w:p w14:paraId="25BDD48B">
      <w:pPr>
        <w:spacing w:line="360" w:lineRule="auto"/>
        <w:ind w:firstLine="482" w:firstLineChars="200"/>
        <w:rPr>
          <w:rFonts w:ascii="Times New Roman" w:hAnsi="Times New Roman"/>
          <w:b/>
          <w:bCs/>
          <w:color w:val="0D0D0D"/>
          <w:sz w:val="24"/>
        </w:rPr>
      </w:pPr>
      <w:r>
        <w:rPr>
          <w:rFonts w:ascii="Times New Roman" w:hAnsi="Times New Roman"/>
          <w:b/>
          <w:bCs/>
          <w:color w:val="0D0D0D"/>
          <w:sz w:val="24"/>
        </w:rPr>
        <w:t>3.推荐意见</w:t>
      </w:r>
      <w:r>
        <w:rPr>
          <w:rFonts w:hint="eastAsia" w:ascii="Times New Roman" w:hAnsi="Times New Roman"/>
          <w:b/>
          <w:bCs/>
          <w:color w:val="0D0D0D"/>
          <w:sz w:val="24"/>
        </w:rPr>
        <w:t>：</w:t>
      </w:r>
      <w:r>
        <w:rPr>
          <w:rFonts w:hint="eastAsia" w:ascii="Times New Roman" w:hAnsi="Times New Roman"/>
          <w:color w:val="0D0D0D"/>
          <w:sz w:val="24"/>
        </w:rPr>
        <w:t>先天性胫骨假关节（CPT）是小儿骨科领域公认的疑难重症，治疗周期长、难度大、预后不确定性高，是临床面临的长期挑战。本项目立足于临床实际，以解决CPT术后骨不连与再骨折率高等核心问题为目标，研究路径清晰，问题导向明确。在机制研究方面，项目团队并未止步于临床观察，而是深入探究病变骨膜中成骨/破骨细胞的功能状态，从生物学层面揭示了CPT局部骨愈合能力缺陷的内在原因，为治疗策略的优化提供了重要的理论依据。整个研究围绕“阐明发病机制”与“提升治疗效果”两大主线展开，从基础到临床进行了系统而深入的探索，工作扎实，成果已广泛应用于临床，显著改善了患儿预后，展现出明确的临床价值与社会意义。</w:t>
      </w:r>
    </w:p>
    <w:p w14:paraId="219AA9C2">
      <w:pPr>
        <w:spacing w:line="360" w:lineRule="auto"/>
        <w:ind w:firstLine="482" w:firstLineChars="200"/>
        <w:rPr>
          <w:rFonts w:hint="default" w:ascii="sans-serif" w:hAnsi="sans-serif" w:eastAsia="sans-serif" w:cs="sans-serif"/>
          <w:i w:val="0"/>
          <w:iCs w:val="0"/>
          <w:caps w:val="0"/>
          <w:color w:val="000000"/>
          <w:spacing w:val="0"/>
          <w:sz w:val="13"/>
          <w:szCs w:val="13"/>
        </w:rPr>
      </w:pPr>
      <w:r>
        <w:rPr>
          <w:rFonts w:ascii="Times New Roman" w:hAnsi="Times New Roman"/>
          <w:b/>
          <w:bCs/>
          <w:color w:val="0D0D0D"/>
          <w:sz w:val="24"/>
        </w:rPr>
        <w:t>4.项目简介</w:t>
      </w:r>
      <w:r>
        <w:rPr>
          <w:rFonts w:hint="eastAsia" w:ascii="宋体" w:hAnsi="宋体" w:eastAsia="宋体" w:cs="宋体"/>
          <w:i w:val="0"/>
          <w:iCs w:val="0"/>
          <w:caps w:val="0"/>
          <w:color w:val="000000"/>
          <w:spacing w:val="0"/>
          <w:sz w:val="13"/>
          <w:szCs w:val="13"/>
        </w:rPr>
        <w:t> </w:t>
      </w:r>
    </w:p>
    <w:p w14:paraId="3DFE19EE">
      <w:pPr>
        <w:numPr>
          <w:ilvl w:val="0"/>
          <w:numId w:val="2"/>
        </w:numPr>
        <w:spacing w:line="360" w:lineRule="auto"/>
        <w:ind w:firstLine="482" w:firstLineChars="200"/>
        <w:rPr>
          <w:rFonts w:hint="eastAsia" w:ascii="Times New Roman" w:hAnsi="Times New Roman"/>
          <w:b/>
          <w:bCs/>
          <w:color w:val="0D0D0D"/>
          <w:sz w:val="24"/>
        </w:rPr>
      </w:pPr>
      <w:r>
        <w:rPr>
          <w:rFonts w:hint="eastAsia" w:ascii="Times New Roman" w:hAnsi="Times New Roman"/>
          <w:b/>
          <w:bCs/>
          <w:color w:val="0D0D0D"/>
          <w:sz w:val="24"/>
        </w:rPr>
        <w:t>主要研究内容与科学发现：</w:t>
      </w:r>
    </w:p>
    <w:p w14:paraId="7BCB1DEB">
      <w:pPr>
        <w:pStyle w:val="5"/>
        <w:keepNext w:val="0"/>
        <w:keepLines w:val="0"/>
        <w:widowControl/>
        <w:suppressLineNumbers w:val="0"/>
        <w:spacing w:before="0" w:beforeAutospacing="0" w:after="0" w:afterAutospacing="0" w:line="360" w:lineRule="auto"/>
        <w:ind w:left="0" w:right="0" w:firstLine="274"/>
        <w:jc w:val="left"/>
        <w:rPr>
          <w:rFonts w:hint="eastAsia"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先天性胫骨假关节（</w:t>
      </w:r>
      <w:r>
        <w:rPr>
          <w:rFonts w:hint="default" w:ascii="Times New Roman" w:hAnsi="Times New Roman" w:eastAsia="宋体" w:cs="Times New Roman"/>
          <w:color w:val="0D0D0D"/>
          <w:kern w:val="2"/>
          <w:sz w:val="24"/>
          <w:szCs w:val="24"/>
          <w:lang w:val="en-US" w:eastAsia="zh-CN" w:bidi="ar-SA"/>
        </w:rPr>
        <w:t>Congenital Pseudarthrosis of the Tibia, CPT</w:t>
      </w:r>
      <w:r>
        <w:rPr>
          <w:rFonts w:hint="eastAsia" w:ascii="Times New Roman" w:hAnsi="Times New Roman" w:eastAsia="宋体" w:cs="Times New Roman"/>
          <w:color w:val="0D0D0D"/>
          <w:kern w:val="2"/>
          <w:sz w:val="24"/>
          <w:szCs w:val="24"/>
          <w:lang w:val="en-US" w:eastAsia="zh-CN" w:bidi="ar-SA"/>
        </w:rPr>
        <w:t>）是儿童骨科领域公认的难治性疾病，以其罕见性、高致残率困扰临床。为深化对其致病机制的认知、优化临床治疗策略，本项目围绕分子病因及治疗策略优化与评估，展开系统性研究。项目目标在于将上述理论成果转化为可推广的临床解决方案，并期望通过本项目，能显著提高</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的骨性愈合率，降低其再骨折与远期畸形的风险。项目采用“基础研究—生物力学分析—大样本临床随访”的综合研究设计：（</w:t>
      </w:r>
      <w:r>
        <w:rPr>
          <w:rFonts w:hint="default" w:ascii="Times New Roman" w:hAnsi="Times New Roman" w:eastAsia="宋体" w:cs="Times New Roman"/>
          <w:color w:val="0D0D0D"/>
          <w:kern w:val="2"/>
          <w:sz w:val="24"/>
          <w:szCs w:val="24"/>
          <w:lang w:val="en-US" w:eastAsia="zh-CN" w:bidi="ar-SA"/>
        </w:rPr>
        <w:t>1</w:t>
      </w:r>
      <w:r>
        <w:rPr>
          <w:rFonts w:hint="eastAsia" w:ascii="Times New Roman" w:hAnsi="Times New Roman" w:eastAsia="宋体" w:cs="Times New Roman"/>
          <w:color w:val="0D0D0D"/>
          <w:kern w:val="2"/>
          <w:sz w:val="24"/>
          <w:szCs w:val="24"/>
          <w:lang w:val="en-US" w:eastAsia="zh-CN" w:bidi="ar-SA"/>
        </w:rPr>
        <w:t>）在分子与细胞层面，开展患儿血清外泌体组学分析及病灶骨膜干细胞非编码</w:t>
      </w:r>
      <w:r>
        <w:rPr>
          <w:rFonts w:hint="default" w:ascii="Times New Roman" w:hAnsi="Times New Roman" w:eastAsia="宋体" w:cs="Times New Roman"/>
          <w:color w:val="0D0D0D"/>
          <w:kern w:val="2"/>
          <w:sz w:val="24"/>
          <w:szCs w:val="24"/>
          <w:lang w:val="en-US" w:eastAsia="zh-CN" w:bidi="ar-SA"/>
        </w:rPr>
        <w:t>RNA</w:t>
      </w:r>
      <w:r>
        <w:rPr>
          <w:rFonts w:hint="eastAsia" w:ascii="Times New Roman" w:hAnsi="Times New Roman" w:eastAsia="宋体" w:cs="Times New Roman"/>
          <w:color w:val="0D0D0D"/>
          <w:kern w:val="2"/>
          <w:sz w:val="24"/>
          <w:szCs w:val="24"/>
          <w:lang w:val="en-US" w:eastAsia="zh-CN" w:bidi="ar-SA"/>
        </w:rPr>
        <w:t>调控研究，证实</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来源外泌体对骨质影响；在动物细胞水平上调</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可激活自噬、增强成骨并抑制破骨。（</w:t>
      </w:r>
      <w:r>
        <w:rPr>
          <w:rFonts w:hint="default" w:ascii="Times New Roman" w:hAnsi="Times New Roman" w:eastAsia="宋体" w:cs="Times New Roman"/>
          <w:color w:val="0D0D0D"/>
          <w:kern w:val="2"/>
          <w:sz w:val="24"/>
          <w:szCs w:val="24"/>
          <w:lang w:val="en-US" w:eastAsia="zh-CN" w:bidi="ar-SA"/>
        </w:rPr>
        <w:t>2</w:t>
      </w:r>
      <w:r>
        <w:rPr>
          <w:rFonts w:hint="eastAsia" w:ascii="Times New Roman" w:hAnsi="Times New Roman" w:eastAsia="宋体" w:cs="Times New Roman"/>
          <w:color w:val="0D0D0D"/>
          <w:kern w:val="2"/>
          <w:sz w:val="24"/>
          <w:szCs w:val="24"/>
          <w:lang w:val="en-US" w:eastAsia="zh-CN" w:bidi="ar-SA"/>
        </w:rPr>
        <w:t>）在神经免疫交互层面，发现</w:t>
      </w:r>
      <w:r>
        <w:rPr>
          <w:rFonts w:hint="default" w:ascii="Times New Roman" w:hAnsi="Times New Roman" w:eastAsia="宋体" w:cs="Times New Roman"/>
          <w:color w:val="0D0D0D"/>
          <w:kern w:val="2"/>
          <w:sz w:val="24"/>
          <w:szCs w:val="24"/>
          <w:lang w:val="en-US" w:eastAsia="zh-CN" w:bidi="ar-SA"/>
        </w:rPr>
        <w:t>CSF1</w:t>
      </w:r>
      <w:r>
        <w:rPr>
          <w:rFonts w:hint="eastAsia" w:ascii="Times New Roman" w:hAnsi="Times New Roman" w:eastAsia="宋体" w:cs="Times New Roman"/>
          <w:color w:val="0D0D0D"/>
          <w:kern w:val="2"/>
          <w:sz w:val="24"/>
          <w:szCs w:val="24"/>
          <w:lang w:val="en-US" w:eastAsia="zh-CN" w:bidi="ar-SA"/>
        </w:rPr>
        <w:t>可经</w:t>
      </w:r>
      <w:r>
        <w:rPr>
          <w:rFonts w:hint="default" w:ascii="Times New Roman" w:hAnsi="Times New Roman" w:eastAsia="宋体" w:cs="Times New Roman"/>
          <w:color w:val="0D0D0D"/>
          <w:kern w:val="2"/>
          <w:sz w:val="24"/>
          <w:szCs w:val="24"/>
          <w:lang w:val="en-US" w:eastAsia="zh-CN" w:bidi="ar-SA"/>
        </w:rPr>
        <w:t>AMPK-</w:t>
      </w:r>
      <w:r>
        <w:rPr>
          <w:rFonts w:hint="eastAsia" w:ascii="Times New Roman" w:hAnsi="Times New Roman" w:eastAsia="宋体" w:cs="Times New Roman"/>
          <w:color w:val="0D0D0D"/>
          <w:kern w:val="2"/>
          <w:sz w:val="24"/>
          <w:szCs w:val="24"/>
          <w:lang w:val="en-US" w:eastAsia="zh-CN" w:bidi="ar-SA"/>
        </w:rPr>
        <w:t>自噬轴激活小胶质细胞，诱发神经病理性疼痛，阻断该通路可逆转疼痛表型，为康复期镇痛与功能恢复提供新靶点。（</w:t>
      </w:r>
      <w:r>
        <w:rPr>
          <w:rFonts w:hint="default" w:ascii="Times New Roman" w:hAnsi="Times New Roman" w:eastAsia="宋体" w:cs="Times New Roman"/>
          <w:color w:val="0D0D0D"/>
          <w:kern w:val="2"/>
          <w:sz w:val="24"/>
          <w:szCs w:val="24"/>
          <w:lang w:val="en-US" w:eastAsia="zh-CN" w:bidi="ar-SA"/>
        </w:rPr>
        <w:t>3</w:t>
      </w:r>
      <w:r>
        <w:rPr>
          <w:rFonts w:hint="eastAsia" w:ascii="Times New Roman" w:hAnsi="Times New Roman" w:eastAsia="宋体" w:cs="Times New Roman"/>
          <w:color w:val="0D0D0D"/>
          <w:kern w:val="2"/>
          <w:sz w:val="24"/>
          <w:szCs w:val="24"/>
          <w:lang w:val="en-US" w:eastAsia="zh-CN" w:bidi="ar-SA"/>
        </w:rPr>
        <w:t>）在骨质量与力学层面，通过跟骨骨密度检测评估患儿全身骨强度，并建立术后三维有限元模型，分析“三合一骨融合”术后胫腓骨应力分布。（</w:t>
      </w:r>
      <w:r>
        <w:rPr>
          <w:rFonts w:hint="default" w:ascii="Times New Roman" w:hAnsi="Times New Roman" w:eastAsia="宋体" w:cs="Times New Roman"/>
          <w:color w:val="0D0D0D"/>
          <w:kern w:val="2"/>
          <w:sz w:val="24"/>
          <w:szCs w:val="24"/>
          <w:lang w:val="en-US" w:eastAsia="zh-CN" w:bidi="ar-SA"/>
        </w:rPr>
        <w:t>4</w:t>
      </w:r>
      <w:r>
        <w:rPr>
          <w:rFonts w:hint="eastAsia" w:ascii="Times New Roman" w:hAnsi="Times New Roman" w:eastAsia="宋体" w:cs="Times New Roman"/>
          <w:color w:val="0D0D0D"/>
          <w:kern w:val="2"/>
          <w:sz w:val="24"/>
          <w:szCs w:val="24"/>
          <w:lang w:val="en-US" w:eastAsia="zh-CN" w:bidi="ar-SA"/>
        </w:rPr>
        <w:t>）在临床验证层面，回顾性分析</w:t>
      </w:r>
      <w:r>
        <w:rPr>
          <w:rFonts w:hint="default" w:ascii="Times New Roman" w:hAnsi="Times New Roman" w:eastAsia="宋体" w:cs="Times New Roman"/>
          <w:color w:val="0D0D0D"/>
          <w:kern w:val="2"/>
          <w:sz w:val="24"/>
          <w:szCs w:val="24"/>
          <w:lang w:val="en-US" w:eastAsia="zh-CN" w:bidi="ar-SA"/>
        </w:rPr>
        <w:t>255</w:t>
      </w:r>
      <w:r>
        <w:rPr>
          <w:rFonts w:hint="eastAsia" w:ascii="Times New Roman" w:hAnsi="Times New Roman" w:eastAsia="宋体" w:cs="Times New Roman"/>
          <w:color w:val="0D0D0D"/>
          <w:kern w:val="2"/>
          <w:sz w:val="24"/>
          <w:szCs w:val="24"/>
          <w:lang w:val="en-US" w:eastAsia="zh-CN" w:bidi="ar-SA"/>
        </w:rPr>
        <w:t>例手术结局与</w:t>
      </w:r>
      <w:r>
        <w:rPr>
          <w:rFonts w:hint="default" w:ascii="Times New Roman" w:hAnsi="Times New Roman" w:eastAsia="宋体" w:cs="Times New Roman"/>
          <w:color w:val="0D0D0D"/>
          <w:kern w:val="2"/>
          <w:sz w:val="24"/>
          <w:szCs w:val="24"/>
          <w:lang w:val="en-US" w:eastAsia="zh-CN" w:bidi="ar-SA"/>
        </w:rPr>
        <w:t>319</w:t>
      </w:r>
      <w:r>
        <w:rPr>
          <w:rFonts w:hint="eastAsia" w:ascii="Times New Roman" w:hAnsi="Times New Roman" w:eastAsia="宋体" w:cs="Times New Roman"/>
          <w:color w:val="0D0D0D"/>
          <w:kern w:val="2"/>
          <w:sz w:val="24"/>
          <w:szCs w:val="24"/>
          <w:lang w:val="en-US" w:eastAsia="zh-CN" w:bidi="ar-SA"/>
        </w:rPr>
        <w:t>例随访数据，明确手术年龄、病变部位等因素对愈合与力线稳定的影响，形成从分子机制到个体化手术与康复管理的贯穿式防治策略。</w:t>
      </w:r>
    </w:p>
    <w:p w14:paraId="619A00E9">
      <w:pPr>
        <w:pStyle w:val="5"/>
        <w:keepNext w:val="0"/>
        <w:keepLines w:val="0"/>
        <w:widowControl/>
        <w:suppressLineNumbers w:val="0"/>
        <w:spacing w:before="0" w:beforeAutospacing="0" w:after="0" w:afterAutospacing="0" w:line="360" w:lineRule="auto"/>
        <w:ind w:left="0" w:right="0" w:firstLine="274"/>
        <w:jc w:val="left"/>
        <w:rPr>
          <w:rFonts w:hint="default" w:ascii="Times New Roman" w:hAnsi="Times New Roman" w:eastAsia="宋体" w:cs="Times New Roman"/>
          <w:color w:val="0D0D0D"/>
          <w:kern w:val="2"/>
          <w:sz w:val="24"/>
          <w:szCs w:val="24"/>
          <w:lang w:val="en-US" w:eastAsia="zh-CN" w:bidi="ar-SA"/>
        </w:rPr>
      </w:pPr>
    </w:p>
    <w:p w14:paraId="7974BE03">
      <w:pPr>
        <w:numPr>
          <w:ilvl w:val="0"/>
          <w:numId w:val="0"/>
        </w:numPr>
        <w:spacing w:line="360" w:lineRule="auto"/>
        <w:rPr>
          <w:rFonts w:hint="eastAsia" w:ascii="Times New Roman" w:hAnsi="Times New Roman" w:eastAsia="宋体"/>
          <w:b/>
          <w:bCs/>
          <w:color w:val="0D0D0D"/>
          <w:sz w:val="24"/>
          <w:lang w:val="en-US" w:eastAsia="zh-CN"/>
        </w:rPr>
      </w:pPr>
      <w:r>
        <w:rPr>
          <w:rFonts w:hint="eastAsia" w:ascii="Times New Roman" w:hAnsi="Times New Roman"/>
          <w:b/>
          <w:bCs/>
          <w:color w:val="0D0D0D"/>
          <w:sz w:val="24"/>
          <w:lang w:val="en-US" w:eastAsia="zh-CN"/>
        </w:rPr>
        <w:t>科学发现</w:t>
      </w:r>
    </w:p>
    <w:p w14:paraId="09D0A38A">
      <w:pPr>
        <w:pStyle w:val="5"/>
        <w:keepNext w:val="0"/>
        <w:keepLines w:val="0"/>
        <w:widowControl/>
        <w:suppressLineNumbers w:val="0"/>
        <w:spacing w:before="0" w:beforeAutospacing="0" w:after="0" w:afterAutospacing="0" w:line="360" w:lineRule="auto"/>
        <w:ind w:left="0" w:right="0" w:firstLine="274"/>
        <w:rPr>
          <w:rFonts w:hint="eastAsia"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科学发现第</w:t>
      </w:r>
      <w:r>
        <w:rPr>
          <w:rFonts w:hint="default" w:ascii="Times New Roman" w:hAnsi="Times New Roman" w:eastAsia="宋体" w:cs="Times New Roman"/>
          <w:color w:val="0D0D0D"/>
          <w:kern w:val="2"/>
          <w:sz w:val="24"/>
          <w:szCs w:val="24"/>
          <w:lang w:val="en-US" w:eastAsia="zh-CN" w:bidi="ar-SA"/>
        </w:rPr>
        <w:t>1</w:t>
      </w:r>
      <w:r>
        <w:rPr>
          <w:rFonts w:hint="eastAsia" w:ascii="Times New Roman" w:hAnsi="Times New Roman" w:eastAsia="宋体" w:cs="Times New Roman"/>
          <w:color w:val="0D0D0D"/>
          <w:kern w:val="2"/>
          <w:sz w:val="24"/>
          <w:szCs w:val="24"/>
          <w:lang w:val="en-US" w:eastAsia="zh-CN" w:bidi="ar-SA"/>
        </w:rPr>
        <w:t>项：提出先天性胫骨假关节（</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）是“系统性骨质疏松性骨病”理论。</w:t>
      </w:r>
    </w:p>
    <w:p w14:paraId="7CBA57C4">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学科分类：小儿外科学</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医学细胞生物学</w:t>
      </w:r>
    </w:p>
    <w:p w14:paraId="0C85BF40">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代表性论文：论文序号5</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论文序号</w:t>
      </w:r>
      <w:r>
        <w:rPr>
          <w:rFonts w:hint="default" w:ascii="Times New Roman" w:hAnsi="Times New Roman" w:eastAsia="宋体" w:cs="Times New Roman"/>
          <w:color w:val="0D0D0D"/>
          <w:kern w:val="2"/>
          <w:sz w:val="24"/>
          <w:szCs w:val="24"/>
          <w:lang w:val="en-US" w:eastAsia="zh-CN" w:bidi="ar-SA"/>
        </w:rPr>
        <w:t>6</w:t>
      </w:r>
    </w:p>
    <w:p w14:paraId="5B1576F1">
      <w:pPr>
        <w:pStyle w:val="5"/>
        <w:keepNext w:val="0"/>
        <w:keepLines w:val="0"/>
        <w:widowControl/>
        <w:suppressLineNumbers w:val="0"/>
        <w:spacing w:before="0" w:beforeAutospacing="0" w:after="0" w:afterAutospacing="0" w:line="360" w:lineRule="auto"/>
        <w:ind w:left="0" w:right="0" w:firstLine="274"/>
        <w:jc w:val="both"/>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本项目率先以体液生物学证据证明，先天性胫骨假关节（</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）并非仅是胫骨一处“不愈合的骨折”，而是一种伴随全身骨质量下降的系统性骨质疏松状态。我们从</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患儿血清中分离并鉴定血清来源外泌体（</w:t>
      </w:r>
      <w:r>
        <w:rPr>
          <w:rFonts w:hint="default" w:ascii="Times New Roman" w:hAnsi="Times New Roman" w:eastAsia="宋体" w:cs="Times New Roman"/>
          <w:color w:val="0D0D0D"/>
          <w:kern w:val="2"/>
          <w:sz w:val="24"/>
          <w:szCs w:val="24"/>
          <w:lang w:val="en-US" w:eastAsia="zh-CN" w:bidi="ar-SA"/>
        </w:rPr>
        <w:t>serum-derived exosomes, SDEs</w:t>
      </w:r>
      <w:r>
        <w:rPr>
          <w:rFonts w:hint="eastAsia" w:ascii="Times New Roman" w:hAnsi="Times New Roman" w:eastAsia="宋体" w:cs="Times New Roman"/>
          <w:color w:val="0D0D0D"/>
          <w:kern w:val="2"/>
          <w:sz w:val="24"/>
          <w:szCs w:val="24"/>
          <w:lang w:val="en-US" w:eastAsia="zh-CN" w:bidi="ar-SA"/>
        </w:rPr>
        <w:t>），利用</w:t>
      </w:r>
      <w:r>
        <w:rPr>
          <w:rFonts w:hint="default" w:ascii="Times New Roman" w:hAnsi="Times New Roman" w:eastAsia="宋体" w:cs="Times New Roman"/>
          <w:color w:val="0D0D0D"/>
          <w:kern w:val="2"/>
          <w:sz w:val="24"/>
          <w:szCs w:val="24"/>
          <w:lang w:val="en-US" w:eastAsia="zh-CN" w:bidi="ar-SA"/>
        </w:rPr>
        <w:t>TMT</w:t>
      </w:r>
      <w:r>
        <w:rPr>
          <w:rFonts w:hint="eastAsia" w:ascii="Times New Roman" w:hAnsi="Times New Roman" w:eastAsia="宋体" w:cs="Times New Roman"/>
          <w:color w:val="0D0D0D"/>
          <w:kern w:val="2"/>
          <w:sz w:val="24"/>
          <w:szCs w:val="24"/>
          <w:lang w:val="en-US" w:eastAsia="zh-CN" w:bidi="ar-SA"/>
        </w:rPr>
        <w:t>标记定量蛋白质组学构建了其差异蛋白谱，发现外泌体中存在数百个显著异常表达蛋白，提示全身骨稳态信号的广泛重构。随后，我们用这些</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外泌体分别干预成骨细胞和破骨细胞，证实其可抑制成骨分化并促进骨吸收相关表型，提示骨生成</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骨吸收平衡在体液水平即被系统性破坏。进一步，将患儿外泌体经尾静脉注射入大鼠后，可在体内诱导骨形成能力受损，出现广泛的小梁骨和皮质骨量下降，提示</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相关致病信号可以通过循环系统驱动全身性低骨量状态，而不仅局限于胫骨病灶。同期，我们在</w:t>
      </w:r>
      <w:r>
        <w:rPr>
          <w:rFonts w:hint="default" w:ascii="Times New Roman" w:hAnsi="Times New Roman" w:eastAsia="宋体" w:cs="Times New Roman"/>
          <w:color w:val="0D0D0D"/>
          <w:kern w:val="2"/>
          <w:sz w:val="24"/>
          <w:szCs w:val="24"/>
          <w:lang w:val="en-US" w:eastAsia="zh-CN" w:bidi="ar-SA"/>
        </w:rPr>
        <w:t>37</w:t>
      </w:r>
      <w:r>
        <w:rPr>
          <w:rFonts w:hint="eastAsia" w:ascii="Times New Roman" w:hAnsi="Times New Roman" w:eastAsia="宋体" w:cs="Times New Roman"/>
          <w:color w:val="0D0D0D"/>
          <w:kern w:val="2"/>
          <w:sz w:val="24"/>
          <w:szCs w:val="24"/>
          <w:lang w:val="en-US" w:eastAsia="zh-CN" w:bidi="ar-SA"/>
        </w:rPr>
        <w:t>例</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患儿中进行跟骨定量超声骨密度检测，发现</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组声速</w:t>
      </w:r>
      <w:r>
        <w:rPr>
          <w:rFonts w:hint="default" w:ascii="Times New Roman" w:hAnsi="Times New Roman" w:eastAsia="宋体" w:cs="Times New Roman"/>
          <w:color w:val="0D0D0D"/>
          <w:kern w:val="2"/>
          <w:sz w:val="24"/>
          <w:szCs w:val="24"/>
          <w:lang w:val="en-US" w:eastAsia="zh-CN" w:bidi="ar-SA"/>
        </w:rPr>
        <w:t>SOS</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1368.75</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136.78 m/s vs 1416.02</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66.15 m/s</w:t>
      </w:r>
      <w:r>
        <w:rPr>
          <w:rFonts w:hint="eastAsia" w:ascii="Times New Roman" w:hAnsi="Times New Roman" w:eastAsia="宋体" w:cs="Times New Roman"/>
          <w:color w:val="0D0D0D"/>
          <w:kern w:val="2"/>
          <w:sz w:val="24"/>
          <w:szCs w:val="24"/>
          <w:lang w:val="en-US" w:eastAsia="zh-CN" w:bidi="ar-SA"/>
        </w:rPr>
        <w:t>）、骨强度指数</w:t>
      </w:r>
      <w:r>
        <w:rPr>
          <w:rFonts w:hint="default" w:ascii="Times New Roman" w:hAnsi="Times New Roman" w:eastAsia="宋体" w:cs="Times New Roman"/>
          <w:color w:val="0D0D0D"/>
          <w:kern w:val="2"/>
          <w:sz w:val="24"/>
          <w:szCs w:val="24"/>
          <w:lang w:val="en-US" w:eastAsia="zh-CN" w:bidi="ar-SA"/>
        </w:rPr>
        <w:t>STI</w:t>
      </w:r>
      <w:r>
        <w:rPr>
          <w:rFonts w:hint="eastAsia" w:ascii="Times New Roman" w:hAnsi="Times New Roman" w:eastAsia="宋体" w:cs="Times New Roman"/>
          <w:color w:val="0D0D0D"/>
          <w:kern w:val="2"/>
          <w:sz w:val="24"/>
          <w:szCs w:val="24"/>
          <w:lang w:val="en-US" w:eastAsia="zh-CN" w:bidi="ar-SA"/>
        </w:rPr>
        <w:t>、骨质量指数</w:t>
      </w:r>
      <w:r>
        <w:rPr>
          <w:rFonts w:hint="default" w:ascii="Times New Roman" w:hAnsi="Times New Roman" w:eastAsia="宋体" w:cs="Times New Roman"/>
          <w:color w:val="0D0D0D"/>
          <w:kern w:val="2"/>
          <w:sz w:val="24"/>
          <w:szCs w:val="24"/>
          <w:lang w:val="en-US" w:eastAsia="zh-CN" w:bidi="ar-SA"/>
        </w:rPr>
        <w:t>QUI</w:t>
      </w:r>
      <w:r>
        <w:rPr>
          <w:rFonts w:hint="eastAsia" w:ascii="Times New Roman" w:hAnsi="Times New Roman" w:eastAsia="宋体" w:cs="Times New Roman"/>
          <w:color w:val="0D0D0D"/>
          <w:kern w:val="2"/>
          <w:sz w:val="24"/>
          <w:szCs w:val="24"/>
          <w:lang w:val="en-US" w:eastAsia="zh-CN" w:bidi="ar-SA"/>
        </w:rPr>
        <w:t>及估测骨密度</w:t>
      </w:r>
      <w:r>
        <w:rPr>
          <w:rFonts w:hint="default" w:ascii="Times New Roman" w:hAnsi="Times New Roman" w:eastAsia="宋体" w:cs="Times New Roman"/>
          <w:color w:val="0D0D0D"/>
          <w:kern w:val="2"/>
          <w:sz w:val="24"/>
          <w:szCs w:val="24"/>
          <w:lang w:val="en-US" w:eastAsia="zh-CN" w:bidi="ar-SA"/>
        </w:rPr>
        <w:t>BMDe</w:t>
      </w:r>
      <w:r>
        <w:rPr>
          <w:rFonts w:hint="eastAsia" w:ascii="Times New Roman" w:hAnsi="Times New Roman" w:eastAsia="宋体" w:cs="Times New Roman"/>
          <w:color w:val="0D0D0D"/>
          <w:kern w:val="2"/>
          <w:sz w:val="24"/>
          <w:szCs w:val="24"/>
          <w:lang w:val="en-US" w:eastAsia="zh-CN" w:bidi="ar-SA"/>
        </w:rPr>
        <w:t>均显著低于</w:t>
      </w:r>
      <w:r>
        <w:rPr>
          <w:rFonts w:hint="default" w:ascii="Times New Roman" w:hAnsi="Times New Roman" w:eastAsia="宋体" w:cs="Times New Roman"/>
          <w:color w:val="0D0D0D"/>
          <w:kern w:val="2"/>
          <w:sz w:val="24"/>
          <w:szCs w:val="24"/>
          <w:lang w:val="en-US" w:eastAsia="zh-CN" w:bidi="ar-SA"/>
        </w:rPr>
        <w:t>40</w:t>
      </w:r>
      <w:r>
        <w:rPr>
          <w:rFonts w:hint="eastAsia" w:ascii="Times New Roman" w:hAnsi="Times New Roman" w:eastAsia="宋体" w:cs="Times New Roman"/>
          <w:color w:val="0D0D0D"/>
          <w:kern w:val="2"/>
          <w:sz w:val="24"/>
          <w:szCs w:val="24"/>
          <w:lang w:val="en-US" w:eastAsia="zh-CN" w:bidi="ar-SA"/>
        </w:rPr>
        <w:t>例对照，并且</w:t>
      </w:r>
      <w:r>
        <w:rPr>
          <w:rFonts w:hint="default" w:ascii="Times New Roman" w:hAnsi="Times New Roman" w:eastAsia="宋体" w:cs="Times New Roman"/>
          <w:color w:val="0D0D0D"/>
          <w:kern w:val="2"/>
          <w:sz w:val="24"/>
          <w:szCs w:val="24"/>
          <w:lang w:val="en-US" w:eastAsia="zh-CN" w:bidi="ar-SA"/>
        </w:rPr>
        <w:t>SOS</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STI</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QUI</w:t>
      </w:r>
      <w:r>
        <w:rPr>
          <w:rFonts w:hint="eastAsia" w:ascii="Times New Roman" w:hAnsi="Times New Roman" w:eastAsia="宋体" w:cs="Times New Roman"/>
          <w:color w:val="0D0D0D"/>
          <w:kern w:val="2"/>
          <w:sz w:val="24"/>
          <w:szCs w:val="24"/>
          <w:lang w:val="en-US" w:eastAsia="zh-CN" w:bidi="ar-SA"/>
        </w:rPr>
        <w:t>与</w:t>
      </w:r>
      <w:r>
        <w:rPr>
          <w:rFonts w:hint="default" w:ascii="Times New Roman" w:hAnsi="Times New Roman" w:eastAsia="宋体" w:cs="Times New Roman"/>
          <w:color w:val="0D0D0D"/>
          <w:kern w:val="2"/>
          <w:sz w:val="24"/>
          <w:szCs w:val="24"/>
          <w:lang w:val="en-US" w:eastAsia="zh-CN" w:bidi="ar-SA"/>
        </w:rPr>
        <w:t>Crawford</w:t>
      </w:r>
      <w:r>
        <w:rPr>
          <w:rFonts w:hint="eastAsia" w:ascii="Times New Roman" w:hAnsi="Times New Roman" w:eastAsia="宋体" w:cs="Times New Roman"/>
          <w:color w:val="0D0D0D"/>
          <w:kern w:val="2"/>
          <w:sz w:val="24"/>
          <w:szCs w:val="24"/>
          <w:lang w:val="en-US" w:eastAsia="zh-CN" w:bidi="ar-SA"/>
        </w:rPr>
        <w:t>分型严重度呈显著负相关，表明骨强度下降与病情分级直接关联，而非单纯由</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驱动。</w:t>
      </w:r>
    </w:p>
    <w:p w14:paraId="1FA0DD84">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该发现首次提出将</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为“伴全身骨质疏松的发育性骨病”新理论，为全身骨质评估、早期骨保护干预和系统性抗再骨折管理提供了理论基础。</w:t>
      </w:r>
    </w:p>
    <w:p w14:paraId="3CB83370">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p>
    <w:p w14:paraId="2D4D0C90">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科学发现第</w:t>
      </w:r>
      <w:r>
        <w:rPr>
          <w:rFonts w:hint="default" w:ascii="Times New Roman" w:hAnsi="Times New Roman" w:eastAsia="宋体" w:cs="Times New Roman"/>
          <w:color w:val="0D0D0D"/>
          <w:kern w:val="2"/>
          <w:sz w:val="24"/>
          <w:szCs w:val="24"/>
          <w:lang w:val="en-US" w:eastAsia="zh-CN" w:bidi="ar-SA"/>
        </w:rPr>
        <w:t>2</w:t>
      </w:r>
      <w:r>
        <w:rPr>
          <w:rFonts w:hint="eastAsia" w:ascii="Times New Roman" w:hAnsi="Times New Roman" w:eastAsia="宋体" w:cs="Times New Roman"/>
          <w:color w:val="0D0D0D"/>
          <w:kern w:val="2"/>
          <w:sz w:val="24"/>
          <w:szCs w:val="24"/>
          <w:lang w:val="en-US" w:eastAsia="zh-CN" w:bidi="ar-SA"/>
        </w:rPr>
        <w:t>项：揭示病灶骨膜来源间充质干细胞（</w:t>
      </w:r>
      <w:r>
        <w:rPr>
          <w:rFonts w:hint="default" w:ascii="Times New Roman" w:hAnsi="Times New Roman" w:eastAsia="宋体" w:cs="Times New Roman"/>
          <w:color w:val="0D0D0D"/>
          <w:kern w:val="2"/>
          <w:sz w:val="24"/>
          <w:szCs w:val="24"/>
          <w:lang w:val="en-US" w:eastAsia="zh-CN" w:bidi="ar-SA"/>
        </w:rPr>
        <w:t>PMSC</w:t>
      </w:r>
      <w:r>
        <w:rPr>
          <w:rFonts w:hint="eastAsia" w:ascii="Times New Roman" w:hAnsi="Times New Roman" w:eastAsia="宋体" w:cs="Times New Roman"/>
          <w:color w:val="0D0D0D"/>
          <w:kern w:val="2"/>
          <w:sz w:val="24"/>
          <w:szCs w:val="24"/>
          <w:lang w:val="en-US" w:eastAsia="zh-CN" w:bidi="ar-SA"/>
        </w:rPr>
        <w:t>）存在增殖</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存活</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成骨的固有程序障碍，并构建</w:t>
      </w:r>
      <w:r>
        <w:rPr>
          <w:rFonts w:hint="default" w:ascii="Times New Roman" w:hAnsi="Times New Roman" w:eastAsia="宋体" w:cs="Times New Roman"/>
          <w:color w:val="0D0D0D"/>
          <w:kern w:val="2"/>
          <w:sz w:val="24"/>
          <w:szCs w:val="24"/>
          <w:lang w:val="en-US" w:eastAsia="zh-CN" w:bidi="ar-SA"/>
        </w:rPr>
        <w:t>lncRNA-mRNA</w:t>
      </w:r>
      <w:r>
        <w:rPr>
          <w:rFonts w:hint="eastAsia" w:ascii="Times New Roman" w:hAnsi="Times New Roman" w:eastAsia="宋体" w:cs="Times New Roman"/>
          <w:color w:val="0D0D0D"/>
          <w:kern w:val="2"/>
          <w:sz w:val="24"/>
          <w:szCs w:val="24"/>
          <w:lang w:val="en-US" w:eastAsia="zh-CN" w:bidi="ar-SA"/>
        </w:rPr>
        <w:t>互作网络。</w:t>
      </w:r>
    </w:p>
    <w:p w14:paraId="4F0874B4">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学科分类：小儿外科学</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医学细胞生物学</w:t>
      </w:r>
    </w:p>
    <w:p w14:paraId="6EE9ABDD">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代表性论文：论文序号</w:t>
      </w:r>
      <w:r>
        <w:rPr>
          <w:rFonts w:hint="default" w:ascii="Times New Roman" w:hAnsi="Times New Roman" w:eastAsia="宋体" w:cs="Times New Roman"/>
          <w:color w:val="0D0D0D"/>
          <w:kern w:val="2"/>
          <w:sz w:val="24"/>
          <w:szCs w:val="24"/>
          <w:lang w:val="en-US" w:eastAsia="zh-CN" w:bidi="ar-SA"/>
        </w:rPr>
        <w:t>3</w:t>
      </w:r>
    </w:p>
    <w:p w14:paraId="4B161BB9">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我们分离了</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病灶区骨膜来源间充质干细胞（</w:t>
      </w:r>
      <w:r>
        <w:rPr>
          <w:rFonts w:hint="default" w:ascii="Times New Roman" w:hAnsi="Times New Roman" w:eastAsia="宋体" w:cs="Times New Roman"/>
          <w:color w:val="0D0D0D"/>
          <w:kern w:val="2"/>
          <w:sz w:val="24"/>
          <w:szCs w:val="24"/>
          <w:lang w:val="en-US" w:eastAsia="zh-CN" w:bidi="ar-SA"/>
        </w:rPr>
        <w:t>periosteal mesenchymal stem cells</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PMSC</w:t>
      </w:r>
      <w:r>
        <w:rPr>
          <w:rFonts w:hint="eastAsia" w:ascii="Times New Roman" w:hAnsi="Times New Roman" w:eastAsia="宋体" w:cs="Times New Roman"/>
          <w:color w:val="0D0D0D"/>
          <w:kern w:val="2"/>
          <w:sz w:val="24"/>
          <w:szCs w:val="24"/>
          <w:lang w:val="en-US" w:eastAsia="zh-CN" w:bidi="ar-SA"/>
        </w:rPr>
        <w:t>），系统比较其生物学行为与正常对照。结果显示，</w:t>
      </w:r>
      <w:r>
        <w:rPr>
          <w:rFonts w:hint="default" w:ascii="Times New Roman" w:hAnsi="Times New Roman" w:eastAsia="宋体" w:cs="Times New Roman"/>
          <w:color w:val="0D0D0D"/>
          <w:kern w:val="2"/>
          <w:sz w:val="24"/>
          <w:szCs w:val="24"/>
          <w:lang w:val="en-US" w:eastAsia="zh-CN" w:bidi="ar-SA"/>
        </w:rPr>
        <w:t>CPT-PMSC</w:t>
      </w:r>
      <w:r>
        <w:rPr>
          <w:rFonts w:hint="eastAsia" w:ascii="Times New Roman" w:hAnsi="Times New Roman" w:eastAsia="宋体" w:cs="Times New Roman"/>
          <w:color w:val="0D0D0D"/>
          <w:kern w:val="2"/>
          <w:sz w:val="24"/>
          <w:szCs w:val="24"/>
          <w:lang w:val="en-US" w:eastAsia="zh-CN" w:bidi="ar-SA"/>
        </w:rPr>
        <w:t>呈现显著的增殖能力下降、凋亡增加和成骨分化潜力受限，这意味着</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骨骨折不愈合并非“骨量不够”，而是“骨膜干细胞本身不会正常成骨”。在分子层面，我们基于转录组测序，筛选到一批在</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来源</w:t>
      </w:r>
      <w:r>
        <w:rPr>
          <w:rFonts w:hint="default" w:ascii="Times New Roman" w:hAnsi="Times New Roman" w:eastAsia="宋体" w:cs="Times New Roman"/>
          <w:color w:val="0D0D0D"/>
          <w:kern w:val="2"/>
          <w:sz w:val="24"/>
          <w:szCs w:val="24"/>
          <w:lang w:val="en-US" w:eastAsia="zh-CN" w:bidi="ar-SA"/>
        </w:rPr>
        <w:t>PMSC</w:t>
      </w:r>
      <w:r>
        <w:rPr>
          <w:rFonts w:hint="eastAsia" w:ascii="Times New Roman" w:hAnsi="Times New Roman" w:eastAsia="宋体" w:cs="Times New Roman"/>
          <w:color w:val="0D0D0D"/>
          <w:kern w:val="2"/>
          <w:sz w:val="24"/>
          <w:szCs w:val="24"/>
          <w:lang w:val="en-US" w:eastAsia="zh-CN" w:bidi="ar-SA"/>
        </w:rPr>
        <w:t>中显著失调的长链非编码</w:t>
      </w:r>
      <w:r>
        <w:rPr>
          <w:rFonts w:hint="default" w:ascii="Times New Roman" w:hAnsi="Times New Roman" w:eastAsia="宋体" w:cs="Times New Roman"/>
          <w:color w:val="0D0D0D"/>
          <w:kern w:val="2"/>
          <w:sz w:val="24"/>
          <w:szCs w:val="24"/>
          <w:lang w:val="en-US" w:eastAsia="zh-CN" w:bidi="ar-SA"/>
        </w:rPr>
        <w:t>RNA</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lncRNA</w:t>
      </w:r>
      <w:r>
        <w:rPr>
          <w:rFonts w:hint="eastAsia" w:ascii="Times New Roman" w:hAnsi="Times New Roman" w:eastAsia="宋体" w:cs="Times New Roman"/>
          <w:color w:val="0D0D0D"/>
          <w:kern w:val="2"/>
          <w:sz w:val="24"/>
          <w:szCs w:val="24"/>
          <w:lang w:val="en-US" w:eastAsia="zh-CN" w:bidi="ar-SA"/>
        </w:rPr>
        <w:t>）和编码基因</w:t>
      </w:r>
      <w:r>
        <w:rPr>
          <w:rFonts w:hint="default" w:ascii="Times New Roman" w:hAnsi="Times New Roman" w:eastAsia="宋体" w:cs="Times New Roman"/>
          <w:color w:val="0D0D0D"/>
          <w:kern w:val="2"/>
          <w:sz w:val="24"/>
          <w:szCs w:val="24"/>
          <w:lang w:val="en-US" w:eastAsia="zh-CN" w:bidi="ar-SA"/>
        </w:rPr>
        <w:t>mRNA</w:t>
      </w:r>
      <w:r>
        <w:rPr>
          <w:rFonts w:hint="eastAsia" w:ascii="Times New Roman" w:hAnsi="Times New Roman" w:eastAsia="宋体" w:cs="Times New Roman"/>
          <w:color w:val="0D0D0D"/>
          <w:kern w:val="2"/>
          <w:sz w:val="24"/>
          <w:szCs w:val="24"/>
          <w:lang w:val="en-US" w:eastAsia="zh-CN" w:bidi="ar-SA"/>
        </w:rPr>
        <w:t>，并据此构建了针对</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的</w:t>
      </w:r>
      <w:r>
        <w:rPr>
          <w:rFonts w:hint="default" w:ascii="Times New Roman" w:hAnsi="Times New Roman" w:eastAsia="宋体" w:cs="Times New Roman"/>
          <w:color w:val="0D0D0D"/>
          <w:kern w:val="2"/>
          <w:sz w:val="24"/>
          <w:szCs w:val="24"/>
          <w:lang w:val="en-US" w:eastAsia="zh-CN" w:bidi="ar-SA"/>
        </w:rPr>
        <w:t>lncRNA</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mRNA</w:t>
      </w:r>
      <w:r>
        <w:rPr>
          <w:rFonts w:hint="eastAsia" w:ascii="Times New Roman" w:hAnsi="Times New Roman" w:eastAsia="宋体" w:cs="Times New Roman"/>
          <w:color w:val="0D0D0D"/>
          <w:kern w:val="2"/>
          <w:sz w:val="24"/>
          <w:szCs w:val="24"/>
          <w:lang w:val="en-US" w:eastAsia="zh-CN" w:bidi="ar-SA"/>
        </w:rPr>
        <w:t>共表达网络。该网络揭示了多个关键通路，如与成骨诱导、骨膜再生和局部骨修复微环境调控密切相关的信号轴，可指向特定候选分子（如</w:t>
      </w:r>
      <w:r>
        <w:rPr>
          <w:rFonts w:hint="default" w:ascii="Times New Roman" w:hAnsi="Times New Roman" w:eastAsia="宋体" w:cs="Times New Roman"/>
          <w:color w:val="0D0D0D"/>
          <w:kern w:val="2"/>
          <w:sz w:val="24"/>
          <w:szCs w:val="24"/>
          <w:lang w:val="en-US" w:eastAsia="zh-CN" w:bidi="ar-SA"/>
        </w:rPr>
        <w:t>FAM227B-FGF7</w:t>
      </w:r>
      <w:r>
        <w:rPr>
          <w:rFonts w:hint="eastAsia" w:ascii="Times New Roman" w:hAnsi="Times New Roman" w:eastAsia="宋体" w:cs="Times New Roman"/>
          <w:color w:val="0D0D0D"/>
          <w:kern w:val="2"/>
          <w:sz w:val="24"/>
          <w:szCs w:val="24"/>
          <w:lang w:val="en-US" w:eastAsia="zh-CN" w:bidi="ar-SA"/>
        </w:rPr>
        <w:t>通路、</w:t>
      </w:r>
      <w:r>
        <w:rPr>
          <w:rFonts w:hint="default" w:ascii="Times New Roman" w:hAnsi="Times New Roman" w:eastAsia="宋体" w:cs="Times New Roman"/>
          <w:color w:val="0D0D0D"/>
          <w:kern w:val="2"/>
          <w:sz w:val="24"/>
          <w:szCs w:val="24"/>
          <w:lang w:val="en-US" w:eastAsia="zh-CN" w:bidi="ar-SA"/>
        </w:rPr>
        <w:t>AC103702-HOXB4/5/6</w:t>
      </w:r>
      <w:r>
        <w:rPr>
          <w:rFonts w:hint="eastAsia" w:ascii="Times New Roman" w:hAnsi="Times New Roman" w:eastAsia="宋体" w:cs="Times New Roman"/>
          <w:color w:val="0D0D0D"/>
          <w:kern w:val="2"/>
          <w:sz w:val="24"/>
          <w:szCs w:val="24"/>
          <w:lang w:val="en-US" w:eastAsia="zh-CN" w:bidi="ar-SA"/>
        </w:rPr>
        <w:t>调控模块等）作为生物强化策略的理论靶点。</w:t>
      </w:r>
    </w:p>
    <w:p w14:paraId="79559F7B">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科学发现第</w:t>
      </w:r>
      <w:r>
        <w:rPr>
          <w:rFonts w:hint="default" w:ascii="Times New Roman" w:hAnsi="Times New Roman" w:eastAsia="宋体" w:cs="Times New Roman"/>
          <w:color w:val="0D0D0D"/>
          <w:kern w:val="2"/>
          <w:sz w:val="24"/>
          <w:szCs w:val="24"/>
          <w:lang w:val="en-US" w:eastAsia="zh-CN" w:bidi="ar-SA"/>
        </w:rPr>
        <w:t>3</w:t>
      </w:r>
      <w:r>
        <w:rPr>
          <w:rFonts w:hint="eastAsia" w:ascii="Times New Roman" w:hAnsi="Times New Roman" w:eastAsia="宋体" w:cs="Times New Roman"/>
          <w:color w:val="0D0D0D"/>
          <w:kern w:val="2"/>
          <w:sz w:val="24"/>
          <w:szCs w:val="24"/>
          <w:lang w:val="en-US" w:eastAsia="zh-CN" w:bidi="ar-SA"/>
        </w:rPr>
        <w:t>项：提出</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骨膜干细胞的</w:t>
      </w:r>
      <w:r>
        <w:rPr>
          <w:rFonts w:hint="default" w:ascii="Times New Roman" w:hAnsi="Times New Roman" w:eastAsia="宋体" w:cs="Times New Roman"/>
          <w:color w:val="0D0D0D"/>
          <w:kern w:val="2"/>
          <w:sz w:val="24"/>
          <w:szCs w:val="24"/>
          <w:lang w:val="en-US" w:eastAsia="zh-CN" w:bidi="ar-SA"/>
        </w:rPr>
        <w:t>circRNA</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miRNA</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mRNA</w:t>
      </w:r>
      <w:r>
        <w:rPr>
          <w:rFonts w:hint="eastAsia" w:ascii="Times New Roman" w:hAnsi="Times New Roman" w:eastAsia="宋体" w:cs="Times New Roman"/>
          <w:color w:val="0D0D0D"/>
          <w:kern w:val="2"/>
          <w:sz w:val="24"/>
          <w:szCs w:val="24"/>
          <w:lang w:val="en-US" w:eastAsia="zh-CN" w:bidi="ar-SA"/>
        </w:rPr>
        <w:t>调控轴是成骨修复的核心瓶颈，形成可干预的分子治疗框架。</w:t>
      </w:r>
    </w:p>
    <w:p w14:paraId="38BB969B">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学科分类：小儿外科学</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医学细胞生物学</w:t>
      </w:r>
    </w:p>
    <w:p w14:paraId="7AE82E70">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代表性论文：论文序号</w:t>
      </w:r>
      <w:r>
        <w:rPr>
          <w:rFonts w:hint="default" w:ascii="Times New Roman" w:hAnsi="Times New Roman" w:eastAsia="宋体" w:cs="Times New Roman"/>
          <w:color w:val="0D0D0D"/>
          <w:kern w:val="2"/>
          <w:sz w:val="24"/>
          <w:szCs w:val="24"/>
          <w:lang w:val="en-US" w:eastAsia="zh-CN" w:bidi="ar-SA"/>
        </w:rPr>
        <w:t>1</w:t>
      </w:r>
    </w:p>
    <w:p w14:paraId="58C8BAB3">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本项目进一步通过高通量环状</w:t>
      </w:r>
      <w:r>
        <w:rPr>
          <w:rFonts w:hint="default" w:ascii="Times New Roman" w:hAnsi="Times New Roman" w:eastAsia="宋体" w:cs="Times New Roman"/>
          <w:color w:val="0D0D0D"/>
          <w:kern w:val="2"/>
          <w:sz w:val="24"/>
          <w:szCs w:val="24"/>
          <w:lang w:val="en-US" w:eastAsia="zh-CN" w:bidi="ar-SA"/>
        </w:rPr>
        <w:t>RNA</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circRNA</w:t>
      </w:r>
      <w:r>
        <w:rPr>
          <w:rFonts w:hint="eastAsia" w:ascii="Times New Roman" w:hAnsi="Times New Roman" w:eastAsia="宋体" w:cs="Times New Roman"/>
          <w:color w:val="0D0D0D"/>
          <w:kern w:val="2"/>
          <w:sz w:val="24"/>
          <w:szCs w:val="24"/>
          <w:lang w:val="en-US" w:eastAsia="zh-CN" w:bidi="ar-SA"/>
        </w:rPr>
        <w:t>）分析，揭示</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病灶骨膜间充质干细胞的成活（</w:t>
      </w:r>
      <w:r>
        <w:rPr>
          <w:rFonts w:hint="default" w:ascii="Times New Roman" w:hAnsi="Times New Roman" w:eastAsia="宋体" w:cs="Times New Roman"/>
          <w:color w:val="0D0D0D"/>
          <w:kern w:val="2"/>
          <w:sz w:val="24"/>
          <w:szCs w:val="24"/>
          <w:lang w:val="en-US" w:eastAsia="zh-CN" w:bidi="ar-SA"/>
        </w:rPr>
        <w:t>survival</w:t>
      </w:r>
      <w:r>
        <w:rPr>
          <w:rFonts w:hint="eastAsia" w:ascii="Times New Roman" w:hAnsi="Times New Roman" w:eastAsia="宋体" w:cs="Times New Roman"/>
          <w:color w:val="0D0D0D"/>
          <w:kern w:val="2"/>
          <w:sz w:val="24"/>
          <w:szCs w:val="24"/>
          <w:lang w:val="en-US" w:eastAsia="zh-CN" w:bidi="ar-SA"/>
        </w:rPr>
        <w:t>）、增殖（</w:t>
      </w:r>
      <w:r>
        <w:rPr>
          <w:rFonts w:hint="default" w:ascii="Times New Roman" w:hAnsi="Times New Roman" w:eastAsia="宋体" w:cs="Times New Roman"/>
          <w:color w:val="0D0D0D"/>
          <w:kern w:val="2"/>
          <w:sz w:val="24"/>
          <w:szCs w:val="24"/>
          <w:lang w:val="en-US" w:eastAsia="zh-CN" w:bidi="ar-SA"/>
        </w:rPr>
        <w:t>proliferation</w:t>
      </w:r>
      <w:r>
        <w:rPr>
          <w:rFonts w:hint="eastAsia" w:ascii="Times New Roman" w:hAnsi="Times New Roman" w:eastAsia="宋体" w:cs="Times New Roman"/>
          <w:color w:val="0D0D0D"/>
          <w:kern w:val="2"/>
          <w:sz w:val="24"/>
          <w:szCs w:val="24"/>
          <w:lang w:val="en-US" w:eastAsia="zh-CN" w:bidi="ar-SA"/>
        </w:rPr>
        <w:t>）和成骨分化（</w:t>
      </w:r>
      <w:r>
        <w:rPr>
          <w:rFonts w:hint="default" w:ascii="Times New Roman" w:hAnsi="Times New Roman" w:eastAsia="宋体" w:cs="Times New Roman"/>
          <w:color w:val="0D0D0D"/>
          <w:kern w:val="2"/>
          <w:sz w:val="24"/>
          <w:szCs w:val="24"/>
          <w:lang w:val="en-US" w:eastAsia="zh-CN" w:bidi="ar-SA"/>
        </w:rPr>
        <w:t>osteogenic differentiation</w:t>
      </w:r>
      <w:r>
        <w:rPr>
          <w:rFonts w:hint="eastAsia" w:ascii="Times New Roman" w:hAnsi="Times New Roman" w:eastAsia="宋体" w:cs="Times New Roman"/>
          <w:color w:val="0D0D0D"/>
          <w:kern w:val="2"/>
          <w:sz w:val="24"/>
          <w:szCs w:val="24"/>
          <w:lang w:val="en-US" w:eastAsia="zh-CN" w:bidi="ar-SA"/>
        </w:rPr>
        <w:t>）受到</w:t>
      </w:r>
      <w:r>
        <w:rPr>
          <w:rFonts w:hint="default" w:ascii="Times New Roman" w:hAnsi="Times New Roman" w:eastAsia="宋体" w:cs="Times New Roman"/>
          <w:color w:val="0D0D0D"/>
          <w:kern w:val="2"/>
          <w:sz w:val="24"/>
          <w:szCs w:val="24"/>
          <w:lang w:val="en-US" w:eastAsia="zh-CN" w:bidi="ar-SA"/>
        </w:rPr>
        <w:t>circRNA</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miRNA</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mRNA</w:t>
      </w:r>
      <w:r>
        <w:rPr>
          <w:rFonts w:hint="eastAsia" w:ascii="Times New Roman" w:hAnsi="Times New Roman" w:eastAsia="宋体" w:cs="Times New Roman"/>
          <w:color w:val="0D0D0D"/>
          <w:kern w:val="2"/>
          <w:sz w:val="24"/>
          <w:szCs w:val="24"/>
          <w:lang w:val="en-US" w:eastAsia="zh-CN" w:bidi="ar-SA"/>
        </w:rPr>
        <w:t>三元调控网络的系统性抑制。这一网络不仅影响细胞存亡和骨形成启动阈值，还可能决定植骨材料与患儿自体骨膜在术后是否能真正形成连续、稳定、带血供的新骨。</w:t>
      </w:r>
    </w:p>
    <w:p w14:paraId="07F6BEE9">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我们提出：通过恢复关键</w:t>
      </w:r>
      <w:r>
        <w:rPr>
          <w:rFonts w:hint="default" w:ascii="Times New Roman" w:hAnsi="Times New Roman" w:eastAsia="宋体" w:cs="Times New Roman"/>
          <w:color w:val="0D0D0D"/>
          <w:kern w:val="2"/>
          <w:sz w:val="24"/>
          <w:szCs w:val="24"/>
          <w:lang w:val="en-US" w:eastAsia="zh-CN" w:bidi="ar-SA"/>
        </w:rPr>
        <w:t>circRNA</w:t>
      </w:r>
      <w:r>
        <w:rPr>
          <w:rFonts w:hint="eastAsia" w:ascii="Times New Roman" w:hAnsi="Times New Roman" w:eastAsia="宋体" w:cs="Times New Roman"/>
          <w:color w:val="0D0D0D"/>
          <w:kern w:val="2"/>
          <w:sz w:val="24"/>
          <w:szCs w:val="24"/>
          <w:lang w:val="en-US" w:eastAsia="zh-CN" w:bidi="ar-SA"/>
        </w:rPr>
        <w:t>信号、解除致抑制</w:t>
      </w:r>
      <w:r>
        <w:rPr>
          <w:rFonts w:hint="default" w:ascii="Times New Roman" w:hAnsi="Times New Roman" w:eastAsia="宋体" w:cs="Times New Roman"/>
          <w:color w:val="0D0D0D"/>
          <w:kern w:val="2"/>
          <w:sz w:val="24"/>
          <w:szCs w:val="24"/>
          <w:lang w:val="en-US" w:eastAsia="zh-CN" w:bidi="ar-SA"/>
        </w:rPr>
        <w:t>miRNA</w:t>
      </w:r>
      <w:r>
        <w:rPr>
          <w:rFonts w:hint="eastAsia" w:ascii="Times New Roman" w:hAnsi="Times New Roman" w:eastAsia="宋体" w:cs="Times New Roman"/>
          <w:color w:val="0D0D0D"/>
          <w:kern w:val="2"/>
          <w:sz w:val="24"/>
          <w:szCs w:val="24"/>
          <w:lang w:val="en-US" w:eastAsia="zh-CN" w:bidi="ar-SA"/>
        </w:rPr>
        <w:t>的效应，进而上调促成骨因子（如生长因子样分子），可能成为优化</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治疗的分子入口。</w:t>
      </w:r>
    </w:p>
    <w:p w14:paraId="4424932E">
      <w:pPr>
        <w:pStyle w:val="5"/>
        <w:keepNext w:val="0"/>
        <w:keepLines w:val="0"/>
        <w:widowControl/>
        <w:suppressLineNumbers w:val="0"/>
        <w:spacing w:before="0" w:beforeAutospacing="0" w:after="0" w:afterAutospacing="0" w:line="360" w:lineRule="auto"/>
        <w:ind w:left="0" w:right="0" w:firstLine="274"/>
        <w:jc w:val="center"/>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fldChar w:fldCharType="begin"/>
      </w:r>
      <w:r>
        <w:rPr>
          <w:rFonts w:hint="eastAsia" w:ascii="Times New Roman" w:hAnsi="Times New Roman" w:eastAsia="宋体" w:cs="Times New Roman"/>
          <w:color w:val="0D0D0D"/>
          <w:kern w:val="2"/>
          <w:sz w:val="24"/>
          <w:szCs w:val="24"/>
          <w:lang w:val="en-US" w:eastAsia="zh-CN" w:bidi="ar-SA"/>
        </w:rPr>
        <w:instrText xml:space="preserve">INCLUDEPICTURE \d "http://hnma.ejiao.net.cn/Papers/UEditor/Images/20251103/17621011287683638.png" \* MERGEFORMATINET </w:instrText>
      </w:r>
      <w:r>
        <w:rPr>
          <w:rFonts w:hint="eastAsia" w:ascii="Times New Roman" w:hAnsi="Times New Roman" w:eastAsia="宋体" w:cs="Times New Roman"/>
          <w:color w:val="0D0D0D"/>
          <w:kern w:val="2"/>
          <w:sz w:val="24"/>
          <w:szCs w:val="24"/>
          <w:lang w:val="en-US" w:eastAsia="zh-CN" w:bidi="ar-SA"/>
        </w:rPr>
        <w:fldChar w:fldCharType="separate"/>
      </w:r>
      <w:r>
        <w:rPr>
          <w:rFonts w:hint="eastAsia" w:ascii="Times New Roman" w:hAnsi="Times New Roman" w:eastAsia="宋体" w:cs="Times New Roman"/>
          <w:color w:val="0D0D0D"/>
          <w:kern w:val="2"/>
          <w:sz w:val="24"/>
          <w:szCs w:val="24"/>
          <w:lang w:val="en-US" w:eastAsia="zh-CN" w:bidi="ar-SA"/>
        </w:rPr>
        <w:drawing>
          <wp:inline distT="0" distB="0" distL="114300" distR="114300">
            <wp:extent cx="3286125" cy="3305175"/>
            <wp:effectExtent l="0" t="0" r="9525" b="9525"/>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png"/>
                    <pic:cNvPicPr>
                      <a:picLocks noChangeAspect="1"/>
                    </pic:cNvPicPr>
                  </pic:nvPicPr>
                  <pic:blipFill>
                    <a:blip r:embed="rId8"/>
                    <a:stretch>
                      <a:fillRect/>
                    </a:stretch>
                  </pic:blipFill>
                  <pic:spPr>
                    <a:xfrm>
                      <a:off x="0" y="0"/>
                      <a:ext cx="3286125" cy="3305175"/>
                    </a:xfrm>
                    <a:prstGeom prst="rect">
                      <a:avLst/>
                    </a:prstGeom>
                    <a:noFill/>
                    <a:ln>
                      <a:noFill/>
                    </a:ln>
                  </pic:spPr>
                </pic:pic>
              </a:graphicData>
            </a:graphic>
          </wp:inline>
        </w:drawing>
      </w:r>
      <w:r>
        <w:rPr>
          <w:rFonts w:hint="eastAsia" w:ascii="Times New Roman" w:hAnsi="Times New Roman" w:eastAsia="宋体" w:cs="Times New Roman"/>
          <w:color w:val="0D0D0D"/>
          <w:kern w:val="2"/>
          <w:sz w:val="24"/>
          <w:szCs w:val="24"/>
          <w:lang w:val="en-US" w:eastAsia="zh-CN" w:bidi="ar-SA"/>
        </w:rPr>
        <w:fldChar w:fldCharType="end"/>
      </w:r>
    </w:p>
    <w:p w14:paraId="6C28A0F4">
      <w:pPr>
        <w:pStyle w:val="5"/>
        <w:keepNext w:val="0"/>
        <w:keepLines w:val="0"/>
        <w:widowControl/>
        <w:suppressLineNumbers w:val="0"/>
        <w:spacing w:before="0" w:beforeAutospacing="0" w:after="0" w:afterAutospacing="0" w:line="360" w:lineRule="auto"/>
        <w:ind w:left="0" w:right="0" w:firstLine="274"/>
        <w:jc w:val="center"/>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图1：Circ_0000888可以通过结合抑制miR-338-3p来提高下游靶点PTN的表达水平，从而促进PMSCs的细胞活力和成骨分化能力。而CPT患者PMSCs中circ_0000888显著下调可能是其发病的重要因素之一，这为CPT的治疗提供一种新的靶点和思路。</w:t>
      </w:r>
    </w:p>
    <w:p w14:paraId="11729865">
      <w:pPr>
        <w:pStyle w:val="5"/>
        <w:keepNext w:val="0"/>
        <w:keepLines w:val="0"/>
        <w:widowControl/>
        <w:suppressLineNumbers w:val="0"/>
        <w:spacing w:before="0" w:beforeAutospacing="0" w:after="0" w:afterAutospacing="0" w:line="360" w:lineRule="auto"/>
        <w:ind w:left="0" w:right="0" w:firstLine="274"/>
        <w:jc w:val="both"/>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科学发现第</w:t>
      </w:r>
      <w:r>
        <w:rPr>
          <w:rFonts w:hint="default" w:ascii="Times New Roman" w:hAnsi="Times New Roman" w:eastAsia="宋体" w:cs="Times New Roman"/>
          <w:color w:val="0D0D0D"/>
          <w:kern w:val="2"/>
          <w:sz w:val="24"/>
          <w:szCs w:val="24"/>
          <w:lang w:val="en-US" w:eastAsia="zh-CN" w:bidi="ar-SA"/>
        </w:rPr>
        <w:t>4</w:t>
      </w:r>
      <w:r>
        <w:rPr>
          <w:rFonts w:hint="eastAsia" w:ascii="Times New Roman" w:hAnsi="Times New Roman" w:eastAsia="宋体" w:cs="Times New Roman"/>
          <w:color w:val="0D0D0D"/>
          <w:kern w:val="2"/>
          <w:sz w:val="24"/>
          <w:szCs w:val="24"/>
          <w:lang w:val="en-US" w:eastAsia="zh-CN" w:bidi="ar-SA"/>
        </w:rPr>
        <w:t>项：证明</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病灶骨膜本身具有“抑制骨生成干扰正常骨发育”的致病活性，而非仅为单纯的瘢痕组织。</w:t>
      </w:r>
    </w:p>
    <w:p w14:paraId="13824D8E">
      <w:pPr>
        <w:pStyle w:val="5"/>
        <w:keepNext w:val="0"/>
        <w:keepLines w:val="0"/>
        <w:widowControl/>
        <w:suppressLineNumbers w:val="0"/>
        <w:spacing w:before="0" w:beforeAutospacing="0" w:after="0" w:afterAutospacing="0" w:line="360" w:lineRule="auto"/>
        <w:ind w:left="0" w:right="0" w:firstLine="274"/>
        <w:jc w:val="both"/>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学科分类：小儿外科学</w:t>
      </w:r>
    </w:p>
    <w:p w14:paraId="3D5E06AC">
      <w:pPr>
        <w:pStyle w:val="5"/>
        <w:keepNext w:val="0"/>
        <w:keepLines w:val="0"/>
        <w:widowControl/>
        <w:suppressLineNumbers w:val="0"/>
        <w:spacing w:before="0" w:beforeAutospacing="0" w:after="0" w:afterAutospacing="0" w:line="360" w:lineRule="auto"/>
        <w:ind w:left="0" w:right="0" w:firstLine="274"/>
        <w:jc w:val="both"/>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代表性论文：论文序号</w:t>
      </w:r>
      <w:r>
        <w:rPr>
          <w:rFonts w:hint="default" w:ascii="Times New Roman" w:hAnsi="Times New Roman" w:eastAsia="宋体" w:cs="Times New Roman"/>
          <w:color w:val="0D0D0D"/>
          <w:kern w:val="2"/>
          <w:sz w:val="24"/>
          <w:szCs w:val="24"/>
          <w:lang w:val="en-US" w:eastAsia="zh-CN" w:bidi="ar-SA"/>
        </w:rPr>
        <w:t>9</w:t>
      </w:r>
    </w:p>
    <w:p w14:paraId="33F2DC61">
      <w:pPr>
        <w:pStyle w:val="5"/>
        <w:keepNext w:val="0"/>
        <w:keepLines w:val="0"/>
        <w:widowControl/>
        <w:suppressLineNumbers w:val="0"/>
        <w:spacing w:before="0" w:beforeAutospacing="0" w:after="0" w:afterAutospacing="0" w:line="360" w:lineRule="auto"/>
        <w:ind w:left="0" w:right="0" w:firstLine="274"/>
        <w:jc w:val="both"/>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本项目将</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患儿病变骨膜组织移植到发育期实验动物（大鼠）胫骨表面，动态观察移植物对宿主胫骨生长、形态和骨质结构的影响。结果显示，来源于</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病灶的骨膜并非“中性填充物”，而是具有主动的生物学干扰效应：可抑制局部胫骨的正常成骨与骨皮质重建，诱导骨生长方向和骨外形发生异常改变，呈现出胫骨发育受抑、骨皮质不均匀、成骨能力下降等改变。</w:t>
      </w:r>
    </w:p>
    <w:p w14:paraId="3C079C9E">
      <w:pPr>
        <w:pStyle w:val="5"/>
        <w:keepNext w:val="0"/>
        <w:keepLines w:val="0"/>
        <w:widowControl/>
        <w:suppressLineNumbers w:val="0"/>
        <w:spacing w:before="0" w:beforeAutospacing="0" w:after="0" w:afterAutospacing="0" w:line="360" w:lineRule="auto"/>
        <w:ind w:left="0" w:right="0" w:firstLine="274"/>
        <w:jc w:val="both"/>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该动物移植实验为“病变骨膜本身就是致病源”提供了直接的体内证据，突破了既往“假关节区域只是机械不稳定供血不足”的传统认识，说明病灶骨膜是</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病理过程的主动驱动者，而非结果。</w:t>
      </w:r>
    </w:p>
    <w:p w14:paraId="299E9280">
      <w:pPr>
        <w:pStyle w:val="5"/>
        <w:keepNext w:val="0"/>
        <w:keepLines w:val="0"/>
        <w:widowControl/>
        <w:suppressLineNumbers w:val="0"/>
        <w:spacing w:before="0" w:beforeAutospacing="0" w:after="0" w:afterAutospacing="0" w:line="360" w:lineRule="auto"/>
        <w:ind w:left="0" w:right="0" w:firstLine="274"/>
        <w:jc w:val="center"/>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fldChar w:fldCharType="begin"/>
      </w:r>
      <w:r>
        <w:rPr>
          <w:rFonts w:hint="eastAsia" w:ascii="Times New Roman" w:hAnsi="Times New Roman" w:eastAsia="宋体" w:cs="Times New Roman"/>
          <w:color w:val="0D0D0D"/>
          <w:kern w:val="2"/>
          <w:sz w:val="24"/>
          <w:szCs w:val="24"/>
          <w:lang w:val="en-US" w:eastAsia="zh-CN" w:bidi="ar-SA"/>
        </w:rPr>
        <w:instrText xml:space="preserve">INCLUDEPICTURE \d "http://hnma.ejiao.net.cn/Papers/UEditor/Images/20251103/17621012964537290.png" \* MERGEFORMATINET </w:instrText>
      </w:r>
      <w:r>
        <w:rPr>
          <w:rFonts w:hint="eastAsia" w:ascii="Times New Roman" w:hAnsi="Times New Roman" w:eastAsia="宋体" w:cs="Times New Roman"/>
          <w:color w:val="0D0D0D"/>
          <w:kern w:val="2"/>
          <w:sz w:val="24"/>
          <w:szCs w:val="24"/>
          <w:lang w:val="en-US" w:eastAsia="zh-CN" w:bidi="ar-SA"/>
        </w:rPr>
        <w:fldChar w:fldCharType="separate"/>
      </w:r>
      <w:r>
        <w:rPr>
          <w:rFonts w:hint="eastAsia" w:ascii="Times New Roman" w:hAnsi="Times New Roman" w:eastAsia="宋体" w:cs="Times New Roman"/>
          <w:color w:val="0D0D0D"/>
          <w:kern w:val="2"/>
          <w:sz w:val="24"/>
          <w:szCs w:val="24"/>
          <w:lang w:val="en-US" w:eastAsia="zh-CN" w:bidi="ar-SA"/>
        </w:rPr>
        <w:drawing>
          <wp:inline distT="0" distB="0" distL="114300" distR="114300">
            <wp:extent cx="2447925" cy="3171825"/>
            <wp:effectExtent l="0" t="0" r="9525" b="9525"/>
            <wp:docPr id="2" name="图片 2" descr="9e84fd2973a4e73c0df11bfb5b68f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e84fd2973a4e73c0df11bfb5b68f2b1.png"/>
                    <pic:cNvPicPr>
                      <a:picLocks noChangeAspect="1"/>
                    </pic:cNvPicPr>
                  </pic:nvPicPr>
                  <pic:blipFill>
                    <a:blip r:embed="rId9"/>
                    <a:stretch>
                      <a:fillRect/>
                    </a:stretch>
                  </pic:blipFill>
                  <pic:spPr>
                    <a:xfrm>
                      <a:off x="0" y="0"/>
                      <a:ext cx="2447925" cy="3171825"/>
                    </a:xfrm>
                    <a:prstGeom prst="rect">
                      <a:avLst/>
                    </a:prstGeom>
                    <a:noFill/>
                    <a:ln>
                      <a:noFill/>
                    </a:ln>
                  </pic:spPr>
                </pic:pic>
              </a:graphicData>
            </a:graphic>
          </wp:inline>
        </w:drawing>
      </w:r>
      <w:r>
        <w:rPr>
          <w:rFonts w:hint="eastAsia" w:ascii="Times New Roman" w:hAnsi="Times New Roman" w:eastAsia="宋体" w:cs="Times New Roman"/>
          <w:color w:val="0D0D0D"/>
          <w:kern w:val="2"/>
          <w:sz w:val="24"/>
          <w:szCs w:val="24"/>
          <w:lang w:val="en-US" w:eastAsia="zh-CN" w:bidi="ar-SA"/>
        </w:rPr>
        <w:fldChar w:fldCharType="end"/>
      </w:r>
    </w:p>
    <w:p w14:paraId="1C898A71">
      <w:pPr>
        <w:pStyle w:val="5"/>
        <w:keepNext w:val="0"/>
        <w:keepLines w:val="0"/>
        <w:widowControl/>
        <w:suppressLineNumbers w:val="0"/>
        <w:spacing w:before="0" w:beforeAutospacing="0" w:after="0" w:afterAutospacing="0" w:line="360" w:lineRule="auto"/>
        <w:ind w:left="0" w:right="0" w:firstLine="274"/>
        <w:jc w:val="center"/>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图2：SD大鼠骨膜移植手术后1d至6周骨膜移植区胫变化情况(红色箭头所示实验组胫骨骨质变化较明显)</w:t>
      </w:r>
    </w:p>
    <w:p w14:paraId="1C65CB91">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p>
    <w:p w14:paraId="3C54F986">
      <w:pPr>
        <w:pStyle w:val="5"/>
        <w:keepNext w:val="0"/>
        <w:keepLines w:val="0"/>
        <w:widowControl/>
        <w:suppressLineNumbers w:val="0"/>
        <w:spacing w:before="0" w:beforeAutospacing="0" w:after="0" w:afterAutospacing="0" w:line="360" w:lineRule="auto"/>
        <w:ind w:left="0" w:right="0" w:firstLine="274"/>
        <w:jc w:val="both"/>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科学发现第</w:t>
      </w:r>
      <w:r>
        <w:rPr>
          <w:rFonts w:hint="default" w:ascii="Times New Roman" w:hAnsi="Times New Roman" w:eastAsia="宋体" w:cs="Times New Roman"/>
          <w:color w:val="0D0D0D"/>
          <w:kern w:val="2"/>
          <w:sz w:val="24"/>
          <w:szCs w:val="24"/>
          <w:lang w:val="en-US" w:eastAsia="zh-CN" w:bidi="ar-SA"/>
        </w:rPr>
        <w:t>5</w:t>
      </w:r>
      <w:r>
        <w:rPr>
          <w:rFonts w:hint="eastAsia" w:ascii="Times New Roman" w:hAnsi="Times New Roman" w:eastAsia="宋体" w:cs="Times New Roman"/>
          <w:color w:val="0D0D0D"/>
          <w:kern w:val="2"/>
          <w:sz w:val="24"/>
          <w:szCs w:val="24"/>
          <w:lang w:val="en-US" w:eastAsia="zh-CN" w:bidi="ar-SA"/>
        </w:rPr>
        <w:t>项：建立基于个体</w:t>
      </w:r>
      <w:r>
        <w:rPr>
          <w:rFonts w:hint="default" w:ascii="Times New Roman" w:hAnsi="Times New Roman" w:eastAsia="宋体" w:cs="Times New Roman"/>
          <w:color w:val="0D0D0D"/>
          <w:kern w:val="2"/>
          <w:sz w:val="24"/>
          <w:szCs w:val="24"/>
          <w:lang w:val="en-US" w:eastAsia="zh-CN" w:bidi="ar-SA"/>
        </w:rPr>
        <w:t>CT</w:t>
      </w:r>
      <w:r>
        <w:rPr>
          <w:rFonts w:hint="eastAsia" w:ascii="Times New Roman" w:hAnsi="Times New Roman" w:eastAsia="宋体" w:cs="Times New Roman"/>
          <w:color w:val="0D0D0D"/>
          <w:kern w:val="2"/>
          <w:sz w:val="24"/>
          <w:szCs w:val="24"/>
          <w:lang w:val="en-US" w:eastAsia="zh-CN" w:bidi="ar-SA"/>
        </w:rPr>
        <w:t>重建的三维有限元力学评估体系，揭示经典“三合一骨融合”术后再骨折的力学根源，提出“</w:t>
      </w:r>
      <w:r>
        <w:rPr>
          <w:rFonts w:hint="default" w:ascii="Times New Roman" w:hAnsi="Times New Roman" w:eastAsia="宋体" w:cs="Times New Roman"/>
          <w:color w:val="0D0D0D"/>
          <w:kern w:val="2"/>
          <w:sz w:val="24"/>
          <w:szCs w:val="24"/>
          <w:lang w:val="en-US" w:eastAsia="zh-CN" w:bidi="ar-SA"/>
        </w:rPr>
        <w:t>2~2.5</w:t>
      </w:r>
      <w:r>
        <w:rPr>
          <w:rFonts w:hint="eastAsia" w:ascii="Times New Roman" w:hAnsi="Times New Roman" w:eastAsia="宋体" w:cs="Times New Roman"/>
          <w:color w:val="0D0D0D"/>
          <w:kern w:val="2"/>
          <w:sz w:val="24"/>
          <w:szCs w:val="24"/>
          <w:lang w:val="en-US" w:eastAsia="zh-CN" w:bidi="ar-SA"/>
        </w:rPr>
        <w:t>岁手术窗口”的循证外科决策模型，首次将“力线与关节稳定”纳入</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长期疗效评价体系。</w:t>
      </w:r>
    </w:p>
    <w:p w14:paraId="47102324">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学科分类：小儿外科学</w:t>
      </w:r>
    </w:p>
    <w:p w14:paraId="69BE2CFB">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代表性论文：论文序号</w:t>
      </w:r>
      <w:r>
        <w:rPr>
          <w:rFonts w:hint="default" w:ascii="Times New Roman" w:hAnsi="Times New Roman" w:eastAsia="宋体" w:cs="Times New Roman"/>
          <w:color w:val="0D0D0D"/>
          <w:kern w:val="2"/>
          <w:sz w:val="24"/>
          <w:szCs w:val="24"/>
          <w:lang w:val="en-US" w:eastAsia="zh-CN" w:bidi="ar-SA"/>
        </w:rPr>
        <w:t>4、</w:t>
      </w:r>
      <w:r>
        <w:rPr>
          <w:rFonts w:hint="eastAsia" w:ascii="Times New Roman" w:hAnsi="Times New Roman" w:eastAsia="宋体" w:cs="Times New Roman"/>
          <w:color w:val="0D0D0D"/>
          <w:kern w:val="2"/>
          <w:sz w:val="24"/>
          <w:szCs w:val="24"/>
          <w:lang w:val="en-US" w:eastAsia="zh-CN" w:bidi="ar-SA"/>
        </w:rPr>
        <w:t>论文序号</w:t>
      </w:r>
      <w:r>
        <w:rPr>
          <w:rFonts w:hint="default" w:ascii="Times New Roman" w:hAnsi="Times New Roman" w:eastAsia="宋体" w:cs="Times New Roman"/>
          <w:color w:val="0D0D0D"/>
          <w:kern w:val="2"/>
          <w:sz w:val="24"/>
          <w:szCs w:val="24"/>
          <w:lang w:val="en-US" w:eastAsia="zh-CN" w:bidi="ar-SA"/>
        </w:rPr>
        <w:t>8、</w:t>
      </w:r>
      <w:r>
        <w:rPr>
          <w:rFonts w:hint="eastAsia" w:ascii="Times New Roman" w:hAnsi="Times New Roman" w:eastAsia="宋体" w:cs="Times New Roman"/>
          <w:color w:val="0D0D0D"/>
          <w:kern w:val="2"/>
          <w:sz w:val="24"/>
          <w:szCs w:val="24"/>
          <w:lang w:val="en-US" w:eastAsia="zh-CN" w:bidi="ar-SA"/>
        </w:rPr>
        <w:t>论文序号</w:t>
      </w:r>
      <w:r>
        <w:rPr>
          <w:rFonts w:hint="default" w:ascii="Times New Roman" w:hAnsi="Times New Roman" w:eastAsia="宋体" w:cs="Times New Roman"/>
          <w:color w:val="0D0D0D"/>
          <w:kern w:val="2"/>
          <w:sz w:val="24"/>
          <w:szCs w:val="24"/>
          <w:lang w:val="en-US" w:eastAsia="zh-CN" w:bidi="ar-SA"/>
        </w:rPr>
        <w:t>10</w:t>
      </w:r>
    </w:p>
    <w:p w14:paraId="5E71703A">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本项目整合</w:t>
      </w:r>
      <w:r>
        <w:rPr>
          <w:rFonts w:hint="default" w:ascii="Times New Roman" w:hAnsi="Times New Roman" w:eastAsia="宋体" w:cs="Times New Roman"/>
          <w:color w:val="0D0D0D"/>
          <w:kern w:val="2"/>
          <w:sz w:val="24"/>
          <w:szCs w:val="24"/>
          <w:lang w:val="en-US" w:eastAsia="zh-CN" w:bidi="ar-SA"/>
        </w:rPr>
        <w:t>2000</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2017</w:t>
      </w:r>
      <w:r>
        <w:rPr>
          <w:rFonts w:hint="eastAsia" w:ascii="Times New Roman" w:hAnsi="Times New Roman" w:eastAsia="宋体" w:cs="Times New Roman"/>
          <w:color w:val="0D0D0D"/>
          <w:kern w:val="2"/>
          <w:sz w:val="24"/>
          <w:szCs w:val="24"/>
          <w:lang w:val="en-US" w:eastAsia="zh-CN" w:bidi="ar-SA"/>
        </w:rPr>
        <w:t>年间</w:t>
      </w:r>
      <w:r>
        <w:rPr>
          <w:rFonts w:hint="default" w:ascii="Times New Roman" w:hAnsi="Times New Roman" w:eastAsia="宋体" w:cs="Times New Roman"/>
          <w:color w:val="0D0D0D"/>
          <w:kern w:val="2"/>
          <w:sz w:val="24"/>
          <w:szCs w:val="24"/>
          <w:lang w:val="en-US" w:eastAsia="zh-CN" w:bidi="ar-SA"/>
        </w:rPr>
        <w:t>4</w:t>
      </w:r>
      <w:r>
        <w:rPr>
          <w:rFonts w:hint="eastAsia" w:ascii="Times New Roman" w:hAnsi="Times New Roman" w:eastAsia="宋体" w:cs="Times New Roman"/>
          <w:color w:val="0D0D0D"/>
          <w:kern w:val="2"/>
          <w:sz w:val="24"/>
          <w:szCs w:val="24"/>
          <w:lang w:val="en-US" w:eastAsia="zh-CN" w:bidi="ar-SA"/>
        </w:rPr>
        <w:t>家骨科中心的</w:t>
      </w:r>
      <w:r>
        <w:rPr>
          <w:rFonts w:hint="default" w:ascii="Times New Roman" w:hAnsi="Times New Roman" w:eastAsia="宋体" w:cs="Times New Roman"/>
          <w:color w:val="0D0D0D"/>
          <w:kern w:val="2"/>
          <w:sz w:val="24"/>
          <w:szCs w:val="24"/>
          <w:lang w:val="en-US" w:eastAsia="zh-CN" w:bidi="ar-SA"/>
        </w:rPr>
        <w:t>255</w:t>
      </w:r>
      <w:r>
        <w:rPr>
          <w:rFonts w:hint="eastAsia" w:ascii="Times New Roman" w:hAnsi="Times New Roman" w:eastAsia="宋体" w:cs="Times New Roman"/>
          <w:color w:val="0D0D0D"/>
          <w:kern w:val="2"/>
          <w:sz w:val="24"/>
          <w:szCs w:val="24"/>
          <w:lang w:val="en-US" w:eastAsia="zh-CN" w:bidi="ar-SA"/>
        </w:rPr>
        <w:t>例</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患儿（</w:t>
      </w:r>
      <w:r>
        <w:rPr>
          <w:rFonts w:hint="default" w:ascii="Times New Roman" w:hAnsi="Times New Roman" w:eastAsia="宋体" w:cs="Times New Roman"/>
          <w:color w:val="0D0D0D"/>
          <w:kern w:val="2"/>
          <w:sz w:val="24"/>
          <w:szCs w:val="24"/>
          <w:lang w:val="en-US" w:eastAsia="zh-CN" w:bidi="ar-SA"/>
        </w:rPr>
        <w:t>Crawford </w:t>
      </w:r>
      <w:r>
        <w:rPr>
          <w:rFonts w:hint="eastAsia" w:ascii="Times New Roman" w:hAnsi="Times New Roman" w:eastAsia="宋体" w:cs="Times New Roman"/>
          <w:color w:val="0D0D0D"/>
          <w:kern w:val="2"/>
          <w:sz w:val="24"/>
          <w:szCs w:val="24"/>
          <w:lang w:val="en-US" w:eastAsia="zh-CN" w:bidi="ar-SA"/>
        </w:rPr>
        <w:t>Ⅳ型为主），采用统一随访口径与</w:t>
      </w:r>
      <w:r>
        <w:rPr>
          <w:rFonts w:hint="default" w:ascii="Times New Roman" w:hAnsi="Times New Roman" w:eastAsia="宋体" w:cs="Times New Roman"/>
          <w:color w:val="0D0D0D"/>
          <w:kern w:val="2"/>
          <w:sz w:val="24"/>
          <w:szCs w:val="24"/>
          <w:lang w:val="en-US" w:eastAsia="zh-CN" w:bidi="ar-SA"/>
        </w:rPr>
        <w:t>Logistic</w:t>
      </w:r>
      <w:r>
        <w:rPr>
          <w:rFonts w:hint="eastAsia" w:ascii="Times New Roman" w:hAnsi="Times New Roman" w:eastAsia="宋体" w:cs="Times New Roman"/>
          <w:color w:val="0D0D0D"/>
          <w:kern w:val="2"/>
          <w:sz w:val="24"/>
          <w:szCs w:val="24"/>
          <w:lang w:val="en-US" w:eastAsia="zh-CN" w:bidi="ar-SA"/>
        </w:rPr>
        <w:t>回归建模，量化了“原发骨性愈合率”“再骨折风险”与手术相关变量（初次手术年龄、病变节段位置等）的关系。结果提示：①首发手术年龄越小（约</w:t>
      </w:r>
      <w:r>
        <w:rPr>
          <w:rFonts w:hint="default" w:ascii="Times New Roman" w:hAnsi="Times New Roman" w:eastAsia="宋体" w:cs="Times New Roman"/>
          <w:color w:val="0D0D0D"/>
          <w:kern w:val="2"/>
          <w:sz w:val="24"/>
          <w:szCs w:val="24"/>
          <w:lang w:val="en-US" w:eastAsia="zh-CN" w:bidi="ar-SA"/>
        </w:rPr>
        <w:t>2~2.5</w:t>
      </w:r>
      <w:r>
        <w:rPr>
          <w:rFonts w:hint="eastAsia" w:ascii="Times New Roman" w:hAnsi="Times New Roman" w:eastAsia="宋体" w:cs="Times New Roman"/>
          <w:color w:val="0D0D0D"/>
          <w:kern w:val="2"/>
          <w:sz w:val="24"/>
          <w:szCs w:val="24"/>
          <w:lang w:val="en-US" w:eastAsia="zh-CN" w:bidi="ar-SA"/>
        </w:rPr>
        <w:t>岁阈值），原发愈合概率越高、远期再骨折风险越低；②病变位于胫骨远</w:t>
      </w:r>
      <w:r>
        <w:rPr>
          <w:rFonts w:hint="default" w:ascii="Times New Roman" w:hAnsi="Times New Roman" w:eastAsia="宋体" w:cs="Times New Roman"/>
          <w:color w:val="0D0D0D"/>
          <w:kern w:val="2"/>
          <w:sz w:val="24"/>
          <w:szCs w:val="24"/>
          <w:lang w:val="en-US" w:eastAsia="zh-CN" w:bidi="ar-SA"/>
        </w:rPr>
        <w:t>1/3</w:t>
      </w:r>
      <w:r>
        <w:rPr>
          <w:rFonts w:hint="eastAsia" w:ascii="Times New Roman" w:hAnsi="Times New Roman" w:eastAsia="宋体" w:cs="Times New Roman"/>
          <w:color w:val="0D0D0D"/>
          <w:kern w:val="2"/>
          <w:sz w:val="24"/>
          <w:szCs w:val="24"/>
          <w:lang w:val="en-US" w:eastAsia="zh-CN" w:bidi="ar-SA"/>
        </w:rPr>
        <w:t>段的患儿较胫骨近端</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中段病变具有更稳定的愈合维持趋势；③年龄和病变位置可作为进入“首次手术是否应积极争取一次稳定骨性愈合”的量化指标，而不再仅靠术者主观经验。</w:t>
      </w:r>
    </w:p>
    <w:p w14:paraId="2A355AB7">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该成果把“何时开刀”从“专家个案判断”升级为“循证可复现的决策标准”，为降低反复手术率、缩短治疗周期提供了循证依据。</w:t>
      </w:r>
    </w:p>
    <w:p w14:paraId="56CD28F2">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科学发现第</w:t>
      </w:r>
      <w:r>
        <w:rPr>
          <w:rFonts w:hint="default" w:ascii="Times New Roman" w:hAnsi="Times New Roman" w:eastAsia="宋体" w:cs="Times New Roman"/>
          <w:color w:val="0D0D0D"/>
          <w:kern w:val="2"/>
          <w:sz w:val="24"/>
          <w:szCs w:val="24"/>
          <w:lang w:val="en-US" w:eastAsia="zh-CN" w:bidi="ar-SA"/>
        </w:rPr>
        <w:t>6</w:t>
      </w:r>
      <w:r>
        <w:rPr>
          <w:rFonts w:hint="eastAsia" w:ascii="Times New Roman" w:hAnsi="Times New Roman" w:eastAsia="宋体" w:cs="Times New Roman"/>
          <w:color w:val="0D0D0D"/>
          <w:kern w:val="2"/>
          <w:sz w:val="24"/>
          <w:szCs w:val="24"/>
          <w:lang w:val="en-US" w:eastAsia="zh-CN" w:bidi="ar-SA"/>
        </w:rPr>
        <w:t>项：提出“</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自噬调控骨再生 </w:t>
      </w:r>
      <w:r>
        <w:rPr>
          <w:rFonts w:hint="default" w:ascii="Times New Roman" w:hAnsi="Times New Roman" w:eastAsia="宋体" w:cs="Times New Roman"/>
          <w:color w:val="0D0D0D"/>
          <w:kern w:val="2"/>
          <w:sz w:val="24"/>
          <w:szCs w:val="24"/>
          <w:lang w:val="en-US" w:eastAsia="zh-CN" w:bidi="ar-SA"/>
        </w:rPr>
        <w:t>+ CSF1-</w:t>
      </w:r>
      <w:r>
        <w:rPr>
          <w:rFonts w:hint="eastAsia" w:ascii="Times New Roman" w:hAnsi="Times New Roman" w:eastAsia="宋体" w:cs="Times New Roman"/>
          <w:color w:val="0D0D0D"/>
          <w:kern w:val="2"/>
          <w:sz w:val="24"/>
          <w:szCs w:val="24"/>
          <w:lang w:val="en-US" w:eastAsia="zh-CN" w:bidi="ar-SA"/>
        </w:rPr>
        <w:t>神经免疫调控疼痛”的一体化康复干预方向</w:t>
      </w:r>
    </w:p>
    <w:p w14:paraId="5C9B5939">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学科分类：小儿外科学</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分子生物学；</w:t>
      </w:r>
    </w:p>
    <w:p w14:paraId="7F75EB04">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代表性论文：论文序号</w:t>
      </w:r>
      <w:r>
        <w:rPr>
          <w:rFonts w:hint="default" w:ascii="Times New Roman" w:hAnsi="Times New Roman" w:eastAsia="宋体" w:cs="Times New Roman"/>
          <w:color w:val="0D0D0D"/>
          <w:kern w:val="2"/>
          <w:sz w:val="24"/>
          <w:szCs w:val="24"/>
          <w:lang w:val="en-US" w:eastAsia="zh-CN" w:bidi="ar-SA"/>
        </w:rPr>
        <w:t>2、</w:t>
      </w:r>
      <w:r>
        <w:rPr>
          <w:rFonts w:hint="eastAsia" w:ascii="Times New Roman" w:hAnsi="Times New Roman" w:eastAsia="宋体" w:cs="Times New Roman"/>
          <w:color w:val="0D0D0D"/>
          <w:kern w:val="2"/>
          <w:sz w:val="24"/>
          <w:szCs w:val="24"/>
          <w:lang w:val="en-US" w:eastAsia="zh-CN" w:bidi="ar-SA"/>
        </w:rPr>
        <w:t>论文序号</w:t>
      </w:r>
      <w:r>
        <w:rPr>
          <w:rFonts w:hint="default" w:ascii="Times New Roman" w:hAnsi="Times New Roman" w:eastAsia="宋体" w:cs="Times New Roman"/>
          <w:color w:val="0D0D0D"/>
          <w:kern w:val="2"/>
          <w:sz w:val="24"/>
          <w:szCs w:val="24"/>
          <w:lang w:val="en-US" w:eastAsia="zh-CN" w:bidi="ar-SA"/>
        </w:rPr>
        <w:t>7</w:t>
      </w:r>
    </w:p>
    <w:p w14:paraId="2D051026">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我们证实</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信号轴是促进骨折愈合和预防不连的关键上游调控因子。研究显示，在骨髓间充质干细胞中外源上调</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Lv-NF1</w:t>
      </w:r>
      <w:r>
        <w:rPr>
          <w:rFonts w:hint="eastAsia" w:ascii="Times New Roman" w:hAnsi="Times New Roman" w:eastAsia="宋体" w:cs="Times New Roman"/>
          <w:color w:val="0D0D0D"/>
          <w:kern w:val="2"/>
          <w:sz w:val="24"/>
          <w:szCs w:val="24"/>
          <w:lang w:val="en-US" w:eastAsia="zh-CN" w:bidi="ar-SA"/>
        </w:rPr>
        <w:t>）可显著增强成骨分化能力（</w:t>
      </w:r>
      <w:r>
        <w:rPr>
          <w:rFonts w:hint="default" w:ascii="Times New Roman" w:hAnsi="Times New Roman" w:eastAsia="宋体" w:cs="Times New Roman"/>
          <w:color w:val="0D0D0D"/>
          <w:kern w:val="2"/>
          <w:sz w:val="24"/>
          <w:szCs w:val="24"/>
          <w:lang w:val="en-US" w:eastAsia="zh-CN" w:bidi="ar-SA"/>
        </w:rPr>
        <w:t>ALP</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Runx2</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OCN</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Osterix</w:t>
      </w:r>
      <w:r>
        <w:rPr>
          <w:rFonts w:hint="eastAsia" w:ascii="Times New Roman" w:hAnsi="Times New Roman" w:eastAsia="宋体" w:cs="Times New Roman"/>
          <w:color w:val="0D0D0D"/>
          <w:kern w:val="2"/>
          <w:sz w:val="24"/>
          <w:szCs w:val="24"/>
          <w:lang w:val="en-US" w:eastAsia="zh-CN" w:bidi="ar-SA"/>
        </w:rPr>
        <w:t>等成骨标志物上调），并同时抑制破骨细胞分化，降低骨吸收相关指标（</w:t>
      </w:r>
      <w:r>
        <w:rPr>
          <w:rFonts w:hint="default" w:ascii="Times New Roman" w:hAnsi="Times New Roman" w:eastAsia="宋体" w:cs="Times New Roman"/>
          <w:color w:val="0D0D0D"/>
          <w:kern w:val="2"/>
          <w:sz w:val="24"/>
          <w:szCs w:val="24"/>
          <w:lang w:val="en-US" w:eastAsia="zh-CN" w:bidi="ar-SA"/>
        </w:rPr>
        <w:t>CTX</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NTX</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CTSK</w:t>
      </w:r>
      <w:r>
        <w:rPr>
          <w:rFonts w:hint="eastAsia" w:ascii="Times New Roman" w:hAnsi="Times New Roman" w:eastAsia="宋体" w:cs="Times New Roman"/>
          <w:color w:val="0D0D0D"/>
          <w:kern w:val="2"/>
          <w:sz w:val="24"/>
          <w:szCs w:val="24"/>
          <w:lang w:val="en-US" w:eastAsia="zh-CN" w:bidi="ar-SA"/>
        </w:rPr>
        <w:t>等）。</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过表达还能抑制</w:t>
      </w:r>
      <w:r>
        <w:rPr>
          <w:rFonts w:hint="default" w:ascii="Times New Roman" w:hAnsi="Times New Roman" w:eastAsia="宋体" w:cs="Times New Roman"/>
          <w:color w:val="0D0D0D"/>
          <w:kern w:val="2"/>
          <w:sz w:val="24"/>
          <w:szCs w:val="24"/>
          <w:lang w:val="en-US" w:eastAsia="zh-CN" w:bidi="ar-SA"/>
        </w:rPr>
        <w:t>mTORC1/S6K1/4EBP1</w:t>
      </w:r>
      <w:r>
        <w:rPr>
          <w:rFonts w:hint="eastAsia" w:ascii="Times New Roman" w:hAnsi="Times New Roman" w:eastAsia="宋体" w:cs="Times New Roman"/>
          <w:color w:val="0D0D0D"/>
          <w:kern w:val="2"/>
          <w:sz w:val="24"/>
          <w:szCs w:val="24"/>
          <w:lang w:val="en-US" w:eastAsia="zh-CN" w:bidi="ar-SA"/>
        </w:rPr>
        <w:t>信号，激活细胞自噬（</w:t>
      </w:r>
      <w:r>
        <w:rPr>
          <w:rFonts w:hint="default" w:ascii="Times New Roman" w:hAnsi="Times New Roman" w:eastAsia="宋体" w:cs="Times New Roman"/>
          <w:color w:val="0D0D0D"/>
          <w:kern w:val="2"/>
          <w:sz w:val="24"/>
          <w:szCs w:val="24"/>
          <w:lang w:val="en-US" w:eastAsia="zh-CN" w:bidi="ar-SA"/>
        </w:rPr>
        <w:t>LC3-II/I</w:t>
      </w:r>
      <w:r>
        <w:rPr>
          <w:rFonts w:hint="eastAsia" w:ascii="Times New Roman" w:hAnsi="Times New Roman" w:eastAsia="宋体" w:cs="Times New Roman"/>
          <w:color w:val="0D0D0D"/>
          <w:kern w:val="2"/>
          <w:sz w:val="24"/>
          <w:szCs w:val="24"/>
          <w:lang w:val="en-US" w:eastAsia="zh-CN" w:bidi="ar-SA"/>
        </w:rPr>
        <w:t>、</w:t>
      </w:r>
      <w:r>
        <w:rPr>
          <w:rFonts w:hint="default" w:ascii="Times New Roman" w:hAnsi="Times New Roman" w:eastAsia="宋体" w:cs="Times New Roman"/>
          <w:color w:val="0D0D0D"/>
          <w:kern w:val="2"/>
          <w:sz w:val="24"/>
          <w:szCs w:val="24"/>
          <w:lang w:val="en-US" w:eastAsia="zh-CN" w:bidi="ar-SA"/>
        </w:rPr>
        <w:t>Beclin1</w:t>
      </w:r>
      <w:r>
        <w:rPr>
          <w:rFonts w:hint="eastAsia" w:ascii="Times New Roman" w:hAnsi="Times New Roman" w:eastAsia="宋体" w:cs="Times New Roman"/>
          <w:color w:val="0D0D0D"/>
          <w:kern w:val="2"/>
          <w:sz w:val="24"/>
          <w:szCs w:val="24"/>
          <w:lang w:val="en-US" w:eastAsia="zh-CN" w:bidi="ar-SA"/>
        </w:rPr>
        <w:t>上调，</w:t>
      </w:r>
      <w:r>
        <w:rPr>
          <w:rFonts w:hint="default" w:ascii="Times New Roman" w:hAnsi="Times New Roman" w:eastAsia="宋体" w:cs="Times New Roman"/>
          <w:color w:val="0D0D0D"/>
          <w:kern w:val="2"/>
          <w:sz w:val="24"/>
          <w:szCs w:val="24"/>
          <w:lang w:val="en-US" w:eastAsia="zh-CN" w:bidi="ar-SA"/>
        </w:rPr>
        <w:t>p62</w:t>
      </w:r>
      <w:r>
        <w:rPr>
          <w:rFonts w:hint="eastAsia" w:ascii="Times New Roman" w:hAnsi="Times New Roman" w:eastAsia="宋体" w:cs="Times New Roman"/>
          <w:color w:val="0D0D0D"/>
          <w:kern w:val="2"/>
          <w:sz w:val="24"/>
          <w:szCs w:val="24"/>
          <w:lang w:val="en-US" w:eastAsia="zh-CN" w:bidi="ar-SA"/>
        </w:rPr>
        <w:t>下调），并在大鼠骨折不连模型中直接促进新骨形成、改善骨痂质量。该结果提出：通过上调</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并激活自噬，可在“低愈合能力、易形成假关节”的骨环境中重启骨再生程序。</w:t>
      </w:r>
    </w:p>
    <w:p w14:paraId="2D14CAF7">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我们将骨折愈合后的康复质量提升到“神经免疫可控”的高度，提出慢性神经痛本身应作为影响患肢早期负重、矫形依从性和长期功能恢复的核心限制因素。我们在脊髓小胶质细胞模型中证实：感觉神经元释放的</w:t>
      </w:r>
      <w:r>
        <w:rPr>
          <w:rFonts w:hint="default" w:ascii="Times New Roman" w:hAnsi="Times New Roman" w:eastAsia="宋体" w:cs="Times New Roman"/>
          <w:color w:val="0D0D0D"/>
          <w:kern w:val="2"/>
          <w:sz w:val="24"/>
          <w:szCs w:val="24"/>
          <w:lang w:val="en-US" w:eastAsia="zh-CN" w:bidi="ar-SA"/>
        </w:rPr>
        <w:t>CSF1</w:t>
      </w:r>
      <w:r>
        <w:rPr>
          <w:rFonts w:hint="eastAsia" w:ascii="Times New Roman" w:hAnsi="Times New Roman" w:eastAsia="宋体" w:cs="Times New Roman"/>
          <w:color w:val="0D0D0D"/>
          <w:kern w:val="2"/>
          <w:sz w:val="24"/>
          <w:szCs w:val="24"/>
          <w:lang w:val="en-US" w:eastAsia="zh-CN" w:bidi="ar-SA"/>
        </w:rPr>
        <w:t>可显著激活小胶质细胞，诱导其增殖并上调炎性因子（如</w:t>
      </w:r>
      <w:r>
        <w:rPr>
          <w:rFonts w:hint="default" w:ascii="Times New Roman" w:hAnsi="Times New Roman" w:eastAsia="宋体" w:cs="Times New Roman"/>
          <w:color w:val="0D0D0D"/>
          <w:kern w:val="2"/>
          <w:sz w:val="24"/>
          <w:szCs w:val="24"/>
          <w:lang w:val="en-US" w:eastAsia="zh-CN" w:bidi="ar-SA"/>
        </w:rPr>
        <w:t>TNF-</w:t>
      </w:r>
      <w:r>
        <w:rPr>
          <w:rFonts w:hint="eastAsia" w:ascii="Times New Roman" w:hAnsi="Times New Roman" w:eastAsia="宋体" w:cs="Times New Roman"/>
          <w:color w:val="0D0D0D"/>
          <w:kern w:val="2"/>
          <w:sz w:val="24"/>
          <w:szCs w:val="24"/>
          <w:lang w:val="en-US" w:eastAsia="zh-CN" w:bidi="ar-SA"/>
        </w:rPr>
        <w:t>α、</w:t>
      </w:r>
      <w:r>
        <w:rPr>
          <w:rFonts w:hint="default" w:ascii="Times New Roman" w:hAnsi="Times New Roman" w:eastAsia="宋体" w:cs="Times New Roman"/>
          <w:color w:val="0D0D0D"/>
          <w:kern w:val="2"/>
          <w:sz w:val="24"/>
          <w:szCs w:val="24"/>
          <w:lang w:val="en-US" w:eastAsia="zh-CN" w:bidi="ar-SA"/>
        </w:rPr>
        <w:t>IL-1</w:t>
      </w:r>
      <w:r>
        <w:rPr>
          <w:rFonts w:hint="eastAsia" w:ascii="Times New Roman" w:hAnsi="Times New Roman" w:eastAsia="宋体" w:cs="Times New Roman"/>
          <w:color w:val="0D0D0D"/>
          <w:kern w:val="2"/>
          <w:sz w:val="24"/>
          <w:szCs w:val="24"/>
          <w:lang w:val="en-US" w:eastAsia="zh-CN" w:bidi="ar-SA"/>
        </w:rPr>
        <w:t>等），同时启动</w:t>
      </w:r>
      <w:r>
        <w:rPr>
          <w:rFonts w:hint="default" w:ascii="Times New Roman" w:hAnsi="Times New Roman" w:eastAsia="宋体" w:cs="Times New Roman"/>
          <w:color w:val="0D0D0D"/>
          <w:kern w:val="2"/>
          <w:sz w:val="24"/>
          <w:szCs w:val="24"/>
          <w:lang w:val="en-US" w:eastAsia="zh-CN" w:bidi="ar-SA"/>
        </w:rPr>
        <w:t>AMPK</w:t>
      </w:r>
      <w:r>
        <w:rPr>
          <w:rFonts w:hint="eastAsia" w:ascii="Times New Roman" w:hAnsi="Times New Roman" w:eastAsia="宋体" w:cs="Times New Roman"/>
          <w:color w:val="0D0D0D"/>
          <w:kern w:val="2"/>
          <w:sz w:val="24"/>
          <w:szCs w:val="24"/>
          <w:lang w:val="en-US" w:eastAsia="zh-CN" w:bidi="ar-SA"/>
        </w:rPr>
        <w:t>通路并诱导小胶质细胞自噬流（</w:t>
      </w:r>
      <w:r>
        <w:rPr>
          <w:rFonts w:hint="default" w:ascii="Times New Roman" w:hAnsi="Times New Roman" w:eastAsia="宋体" w:cs="Times New Roman"/>
          <w:color w:val="0D0D0D"/>
          <w:kern w:val="2"/>
          <w:sz w:val="24"/>
          <w:szCs w:val="24"/>
          <w:lang w:val="en-US" w:eastAsia="zh-CN" w:bidi="ar-SA"/>
        </w:rPr>
        <w:t>LC3-II/I</w:t>
      </w:r>
      <w:r>
        <w:rPr>
          <w:rFonts w:hint="eastAsia" w:ascii="Times New Roman" w:hAnsi="Times New Roman" w:eastAsia="宋体" w:cs="Times New Roman"/>
          <w:color w:val="0D0D0D"/>
          <w:kern w:val="2"/>
          <w:sz w:val="24"/>
          <w:szCs w:val="24"/>
          <w:lang w:val="en-US" w:eastAsia="zh-CN" w:bidi="ar-SA"/>
        </w:rPr>
        <w:t>比值升高、</w:t>
      </w:r>
      <w:r>
        <w:rPr>
          <w:rFonts w:hint="default" w:ascii="Times New Roman" w:hAnsi="Times New Roman" w:eastAsia="宋体" w:cs="Times New Roman"/>
          <w:color w:val="0D0D0D"/>
          <w:kern w:val="2"/>
          <w:sz w:val="24"/>
          <w:szCs w:val="24"/>
          <w:lang w:val="en-US" w:eastAsia="zh-CN" w:bidi="ar-SA"/>
        </w:rPr>
        <w:t>p62</w:t>
      </w:r>
      <w:r>
        <w:rPr>
          <w:rFonts w:hint="eastAsia" w:ascii="Times New Roman" w:hAnsi="Times New Roman" w:eastAsia="宋体" w:cs="Times New Roman"/>
          <w:color w:val="0D0D0D"/>
          <w:kern w:val="2"/>
          <w:sz w:val="24"/>
          <w:szCs w:val="24"/>
          <w:lang w:val="en-US" w:eastAsia="zh-CN" w:bidi="ar-SA"/>
        </w:rPr>
        <w:t>下降），从而放大中枢敏化、诱导持续性神经病理性疼痛。进一步，通过药理抑制</w:t>
      </w:r>
      <w:r>
        <w:rPr>
          <w:rFonts w:hint="default" w:ascii="Times New Roman" w:hAnsi="Times New Roman" w:eastAsia="宋体" w:cs="Times New Roman"/>
          <w:color w:val="0D0D0D"/>
          <w:kern w:val="2"/>
          <w:sz w:val="24"/>
          <w:szCs w:val="24"/>
          <w:lang w:val="en-US" w:eastAsia="zh-CN" w:bidi="ar-SA"/>
        </w:rPr>
        <w:t>AMPK</w:t>
      </w:r>
      <w:r>
        <w:rPr>
          <w:rFonts w:hint="eastAsia" w:ascii="Times New Roman" w:hAnsi="Times New Roman" w:eastAsia="宋体" w:cs="Times New Roman"/>
          <w:color w:val="0D0D0D"/>
          <w:kern w:val="2"/>
          <w:sz w:val="24"/>
          <w:szCs w:val="24"/>
          <w:lang w:val="en-US" w:eastAsia="zh-CN" w:bidi="ar-SA"/>
        </w:rPr>
        <w:t>或干预</w:t>
      </w:r>
      <w:r>
        <w:rPr>
          <w:rFonts w:hint="default" w:ascii="Times New Roman" w:hAnsi="Times New Roman" w:eastAsia="宋体" w:cs="Times New Roman"/>
          <w:color w:val="0D0D0D"/>
          <w:kern w:val="2"/>
          <w:sz w:val="24"/>
          <w:szCs w:val="24"/>
          <w:lang w:val="en-US" w:eastAsia="zh-CN" w:bidi="ar-SA"/>
        </w:rPr>
        <w:t>CSF1-AMPK-</w:t>
      </w:r>
      <w:r>
        <w:rPr>
          <w:rFonts w:hint="eastAsia" w:ascii="Times New Roman" w:hAnsi="Times New Roman" w:eastAsia="宋体" w:cs="Times New Roman"/>
          <w:color w:val="0D0D0D"/>
          <w:kern w:val="2"/>
          <w:sz w:val="24"/>
          <w:szCs w:val="24"/>
          <w:lang w:val="en-US" w:eastAsia="zh-CN" w:bidi="ar-SA"/>
        </w:rPr>
        <w:t>自噬轴，可阻断小胶质细胞的异常激活，逆转疼痛行为学表型。</w:t>
      </w:r>
    </w:p>
    <w:p w14:paraId="39A2613F">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这一发现将“中枢神经炎症</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慢性痛”从被动管理（镇痛）提升为可靶向调控的小胶质细胞—</w:t>
      </w:r>
      <w:r>
        <w:rPr>
          <w:rFonts w:hint="default" w:ascii="Times New Roman" w:hAnsi="Times New Roman" w:eastAsia="宋体" w:cs="Times New Roman"/>
          <w:color w:val="0D0D0D"/>
          <w:kern w:val="2"/>
          <w:sz w:val="24"/>
          <w:szCs w:val="24"/>
          <w:lang w:val="en-US" w:eastAsia="zh-CN" w:bidi="ar-SA"/>
        </w:rPr>
        <w:t>AMPK</w:t>
      </w:r>
      <w:r>
        <w:rPr>
          <w:rFonts w:hint="eastAsia" w:ascii="Times New Roman" w:hAnsi="Times New Roman" w:eastAsia="宋体" w:cs="Times New Roman"/>
          <w:color w:val="0D0D0D"/>
          <w:kern w:val="2"/>
          <w:sz w:val="24"/>
          <w:szCs w:val="24"/>
          <w:lang w:val="en-US" w:eastAsia="zh-CN" w:bidi="ar-SA"/>
        </w:rPr>
        <w:t>—自噬通路问题，提出了围术期</w:t>
      </w:r>
      <w:r>
        <w:rPr>
          <w:rFonts w:hint="default" w:ascii="Times New Roman" w:hAnsi="Times New Roman" w:eastAsia="宋体" w:cs="Times New Roman"/>
          <w:color w:val="0D0D0D"/>
          <w:kern w:val="2"/>
          <w:sz w:val="24"/>
          <w:szCs w:val="24"/>
          <w:lang w:val="en-US" w:eastAsia="zh-CN" w:bidi="ar-SA"/>
        </w:rPr>
        <w:t>/</w:t>
      </w:r>
      <w:r>
        <w:rPr>
          <w:rFonts w:hint="eastAsia" w:ascii="Times New Roman" w:hAnsi="Times New Roman" w:eastAsia="宋体" w:cs="Times New Roman"/>
          <w:color w:val="0D0D0D"/>
          <w:kern w:val="2"/>
          <w:sz w:val="24"/>
          <w:szCs w:val="24"/>
          <w:lang w:val="en-US" w:eastAsia="zh-CN" w:bidi="ar-SA"/>
        </w:rPr>
        <w:t>术后康复阶段通过神经免疫干预以提升患肢功能使用度、改善早期负重行为的策略基础。</w:t>
      </w:r>
    </w:p>
    <w:p w14:paraId="42EC4C7E">
      <w:pPr>
        <w:pStyle w:val="5"/>
        <w:keepNext w:val="0"/>
        <w:keepLines w:val="0"/>
        <w:widowControl/>
        <w:suppressLineNumbers w:val="0"/>
        <w:spacing w:before="0" w:beforeAutospacing="0" w:after="0" w:afterAutospacing="0" w:line="360" w:lineRule="auto"/>
        <w:ind w:left="0" w:right="0" w:firstLine="274"/>
        <w:rPr>
          <w:rFonts w:hint="default"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综上，本项目的六项创新从体液信号、干细胞命运、分子靶点、个体化力学评估、循证手术时机到长期力线管理，形成了贯穿“发病机制—精准外科—功能预后”的连续技术体系，使先天性胫骨假关节的防残管理从经验型个案治疗走向标准化、分层化、可验证的全病程策略。</w:t>
      </w:r>
    </w:p>
    <w:p w14:paraId="1379650E">
      <w:pPr>
        <w:spacing w:line="360" w:lineRule="auto"/>
        <w:ind w:firstLine="480" w:firstLineChars="200"/>
        <w:rPr>
          <w:rFonts w:hint="eastAsia" w:ascii="Times New Roman" w:hAnsi="Times New Roman" w:eastAsia="宋体" w:cs="Times New Roman"/>
          <w:color w:val="0D0D0D"/>
          <w:kern w:val="2"/>
          <w:sz w:val="24"/>
          <w:szCs w:val="24"/>
          <w:lang w:val="en-US" w:eastAsia="zh-CN" w:bidi="ar-SA"/>
        </w:rPr>
      </w:pPr>
    </w:p>
    <w:p w14:paraId="65A75D66">
      <w:pPr>
        <w:spacing w:line="360" w:lineRule="auto"/>
        <w:ind w:firstLine="480" w:firstLineChars="200"/>
        <w:rPr>
          <w:rFonts w:hint="eastAsia"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（2）产生的科学价值与社会效益：</w:t>
      </w:r>
    </w:p>
    <w:p w14:paraId="60D48E7A">
      <w:pPr>
        <w:spacing w:line="360" w:lineRule="auto"/>
        <w:ind w:firstLine="480" w:firstLineChars="200"/>
        <w:rPr>
          <w:rFonts w:hint="eastAsia" w:ascii="Times New Roman" w:hAnsi="Times New Roman" w:eastAsia="宋体" w:cs="Times New Roman"/>
          <w:color w:val="0D0D0D"/>
          <w:kern w:val="2"/>
          <w:sz w:val="24"/>
          <w:szCs w:val="24"/>
          <w:lang w:val="en-US" w:eastAsia="zh-CN" w:bidi="ar-SA"/>
        </w:rPr>
      </w:pPr>
      <w:r>
        <w:rPr>
          <w:rFonts w:hint="eastAsia" w:ascii="Times New Roman" w:hAnsi="Times New Roman" w:eastAsia="宋体" w:cs="Times New Roman"/>
          <w:color w:val="0D0D0D"/>
          <w:kern w:val="2"/>
          <w:sz w:val="24"/>
          <w:szCs w:val="24"/>
          <w:lang w:val="en-US" w:eastAsia="zh-CN" w:bidi="ar-SA"/>
        </w:rPr>
        <w:t>科学价值： （</w:t>
      </w:r>
      <w:r>
        <w:rPr>
          <w:rFonts w:hint="default" w:ascii="Times New Roman" w:hAnsi="Times New Roman" w:eastAsia="宋体" w:cs="Times New Roman"/>
          <w:color w:val="0D0D0D"/>
          <w:kern w:val="2"/>
          <w:sz w:val="24"/>
          <w:szCs w:val="24"/>
          <w:lang w:val="en-US" w:eastAsia="zh-CN" w:bidi="ar-SA"/>
        </w:rPr>
        <w:t>1</w:t>
      </w:r>
      <w:r>
        <w:rPr>
          <w:rFonts w:hint="eastAsia" w:ascii="Times New Roman" w:hAnsi="Times New Roman" w:eastAsia="宋体" w:cs="Times New Roman"/>
          <w:color w:val="0D0D0D"/>
          <w:kern w:val="2"/>
          <w:sz w:val="24"/>
          <w:szCs w:val="24"/>
          <w:lang w:val="en-US" w:eastAsia="zh-CN" w:bidi="ar-SA"/>
        </w:rPr>
        <w:t>）系统构建了“分子缺陷—细胞功能失调—系统性骨质疏松—生物力学失稳”的</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发病模型，为该疾病提供了完整的病理阐释框架，并揭示了其全身性骨代谢异常的本质。（</w:t>
      </w:r>
      <w:r>
        <w:rPr>
          <w:rFonts w:hint="default" w:ascii="Times New Roman" w:hAnsi="Times New Roman" w:eastAsia="宋体" w:cs="Times New Roman"/>
          <w:color w:val="0D0D0D"/>
          <w:kern w:val="2"/>
          <w:sz w:val="24"/>
          <w:szCs w:val="24"/>
          <w:lang w:val="en-US" w:eastAsia="zh-CN" w:bidi="ar-SA"/>
        </w:rPr>
        <w:t>2</w:t>
      </w:r>
      <w:r>
        <w:rPr>
          <w:rFonts w:hint="eastAsia" w:ascii="Times New Roman" w:hAnsi="Times New Roman" w:eastAsia="宋体" w:cs="Times New Roman"/>
          <w:color w:val="0D0D0D"/>
          <w:kern w:val="2"/>
          <w:sz w:val="24"/>
          <w:szCs w:val="24"/>
          <w:lang w:val="en-US" w:eastAsia="zh-CN" w:bidi="ar-SA"/>
        </w:rPr>
        <w:t>）在动物模型中明确</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的核心病理表现为“成骨启动受阻伴破骨活性增强”，深化了对该病骨形成障碍机制的认识，为靶向治疗提供了明确方向。（</w:t>
      </w:r>
      <w:r>
        <w:rPr>
          <w:rFonts w:hint="default" w:ascii="Times New Roman" w:hAnsi="Times New Roman" w:eastAsia="宋体" w:cs="Times New Roman"/>
          <w:color w:val="0D0D0D"/>
          <w:kern w:val="2"/>
          <w:sz w:val="24"/>
          <w:szCs w:val="24"/>
          <w:lang w:val="en-US" w:eastAsia="zh-CN" w:bidi="ar-SA"/>
        </w:rPr>
        <w:t>3</w:t>
      </w:r>
      <w:r>
        <w:rPr>
          <w:rFonts w:hint="eastAsia" w:ascii="Times New Roman" w:hAnsi="Times New Roman" w:eastAsia="宋体" w:cs="Times New Roman"/>
          <w:color w:val="0D0D0D"/>
          <w:kern w:val="2"/>
          <w:sz w:val="24"/>
          <w:szCs w:val="24"/>
          <w:lang w:val="en-US" w:eastAsia="zh-CN" w:bidi="ar-SA"/>
        </w:rPr>
        <w:t>）基于循证医学数据提出以“</w:t>
      </w:r>
      <w:r>
        <w:rPr>
          <w:rFonts w:hint="default" w:ascii="Times New Roman" w:hAnsi="Times New Roman" w:eastAsia="宋体" w:cs="Times New Roman"/>
          <w:color w:val="0D0D0D"/>
          <w:kern w:val="2"/>
          <w:sz w:val="24"/>
          <w:szCs w:val="24"/>
          <w:lang w:val="en-US" w:eastAsia="zh-CN" w:bidi="ar-SA"/>
        </w:rPr>
        <w:t>2.37</w:t>
      </w:r>
      <w:r>
        <w:rPr>
          <w:rFonts w:hint="eastAsia" w:ascii="Times New Roman" w:hAnsi="Times New Roman" w:eastAsia="宋体" w:cs="Times New Roman"/>
          <w:color w:val="0D0D0D"/>
          <w:kern w:val="2"/>
          <w:sz w:val="24"/>
          <w:szCs w:val="24"/>
          <w:lang w:val="en-US" w:eastAsia="zh-CN" w:bidi="ar-SA"/>
        </w:rPr>
        <w:t>岁手术时间窗”与“踝外翻高风险判定”为核心的量化治疗标准，推动</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临床诊疗从经验依赖走向精准决策，显著提升治疗可预测性。临床价值与社会效益：</w:t>
      </w:r>
      <w:r>
        <w:rPr>
          <w:rFonts w:hint="default" w:ascii="Times New Roman" w:hAnsi="Times New Roman" w:eastAsia="宋体" w:cs="Times New Roman"/>
          <w:color w:val="0D0D0D"/>
          <w:kern w:val="2"/>
          <w:sz w:val="24"/>
          <w:szCs w:val="24"/>
          <w:lang w:val="en-US" w:eastAsia="zh-CN" w:bidi="ar-SA"/>
        </w:rPr>
        <w:t>CPT</w:t>
      </w:r>
      <w:r>
        <w:rPr>
          <w:rFonts w:hint="eastAsia" w:ascii="Times New Roman" w:hAnsi="Times New Roman" w:eastAsia="宋体" w:cs="Times New Roman"/>
          <w:color w:val="0D0D0D"/>
          <w:kern w:val="2"/>
          <w:sz w:val="24"/>
          <w:szCs w:val="24"/>
          <w:lang w:val="en-US" w:eastAsia="zh-CN" w:bidi="ar-SA"/>
        </w:rPr>
        <w:t>可致反复骨折、畸形、跛行甚至截肢，带来终身功能受限和沉重照护负担。本项目提出高危筛查标准（手术年龄＞</w:t>
      </w:r>
      <w:r>
        <w:rPr>
          <w:rFonts w:hint="default" w:ascii="Times New Roman" w:hAnsi="Times New Roman" w:eastAsia="宋体" w:cs="Times New Roman"/>
          <w:color w:val="0D0D0D"/>
          <w:kern w:val="2"/>
          <w:sz w:val="24"/>
          <w:szCs w:val="24"/>
          <w:lang w:val="en-US" w:eastAsia="zh-CN" w:bidi="ar-SA"/>
        </w:rPr>
        <w:t>2</w:t>
      </w:r>
      <w:r>
        <w:rPr>
          <w:rFonts w:hint="eastAsia" w:ascii="Times New Roman" w:hAnsi="Times New Roman" w:eastAsia="宋体" w:cs="Times New Roman"/>
          <w:color w:val="0D0D0D"/>
          <w:kern w:val="2"/>
          <w:sz w:val="24"/>
          <w:szCs w:val="24"/>
          <w:lang w:val="en-US" w:eastAsia="zh-CN" w:bidi="ar-SA"/>
        </w:rPr>
        <w:t>岁、腓骨假关节或</w:t>
      </w:r>
      <w:r>
        <w:rPr>
          <w:rFonts w:hint="default" w:ascii="Times New Roman" w:hAnsi="Times New Roman" w:eastAsia="宋体" w:cs="Times New Roman"/>
          <w:color w:val="0D0D0D"/>
          <w:kern w:val="2"/>
          <w:sz w:val="24"/>
          <w:szCs w:val="24"/>
          <w:lang w:val="en-US" w:eastAsia="zh-CN" w:bidi="ar-SA"/>
        </w:rPr>
        <w:t>NF1</w:t>
      </w:r>
      <w:r>
        <w:rPr>
          <w:rFonts w:hint="eastAsia" w:ascii="Times New Roman" w:hAnsi="Times New Roman" w:eastAsia="宋体" w:cs="Times New Roman"/>
          <w:color w:val="0D0D0D"/>
          <w:kern w:val="2"/>
          <w:sz w:val="24"/>
          <w:szCs w:val="24"/>
          <w:lang w:val="en-US" w:eastAsia="zh-CN" w:bidi="ar-SA"/>
        </w:rPr>
        <w:t>）及踝外翻随访规范，使畸形治疗由经验走向量化，降低终身跛行并提升患儿行走、自理与社会融入。</w:t>
      </w:r>
    </w:p>
    <w:p w14:paraId="5E41F5B2">
      <w:pPr>
        <w:spacing w:line="360" w:lineRule="auto"/>
        <w:ind w:firstLine="482" w:firstLineChars="200"/>
        <w:rPr>
          <w:rFonts w:hint="eastAsia" w:ascii="Times New Roman" w:hAnsi="Times New Roman"/>
          <w:b/>
          <w:bCs/>
          <w:color w:val="0D0D0D"/>
          <w:sz w:val="24"/>
        </w:rPr>
      </w:pPr>
      <w:r>
        <w:rPr>
          <w:rFonts w:ascii="Times New Roman" w:hAnsi="Times New Roman"/>
          <w:b/>
          <w:bCs/>
          <w:color w:val="0D0D0D"/>
          <w:sz w:val="24"/>
        </w:rPr>
        <w:t>5.代表性论文目录</w:t>
      </w:r>
    </w:p>
    <w:tbl>
      <w:tblPr>
        <w:tblStyle w:val="6"/>
        <w:tblW w:w="94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5" w:type="dxa"/>
          <w:left w:w="96" w:type="dxa"/>
          <w:bottom w:w="45" w:type="dxa"/>
          <w:right w:w="96" w:type="dxa"/>
        </w:tblCellMar>
      </w:tblPr>
      <w:tblGrid>
        <w:gridCol w:w="792"/>
        <w:gridCol w:w="2407"/>
        <w:gridCol w:w="2571"/>
        <w:gridCol w:w="2384"/>
        <w:gridCol w:w="1274"/>
      </w:tblGrid>
      <w:tr w14:paraId="7BB5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tblHeader/>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1E47EC7E">
            <w:pPr>
              <w:snapToGrid w:val="0"/>
              <w:spacing w:line="360" w:lineRule="auto"/>
              <w:jc w:val="center"/>
              <w:rPr>
                <w:rFonts w:hint="eastAsia" w:ascii="Times New Roman" w:hAnsi="Times New Roman" w:eastAsiaTheme="minorEastAsia"/>
                <w:b/>
                <w:color w:val="0D0D0D"/>
                <w:sz w:val="24"/>
                <w:lang w:eastAsia="zh-CN"/>
              </w:rPr>
            </w:pPr>
            <w:r>
              <w:rPr>
                <w:rFonts w:hint="eastAsia" w:ascii="Times New Roman" w:hAnsi="Times New Roman"/>
                <w:b/>
                <w:color w:val="0D0D0D"/>
                <w:sz w:val="24"/>
                <w:lang w:eastAsia="zh-CN"/>
              </w:rPr>
              <w:t>序号</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74C1661A">
            <w:pPr>
              <w:snapToGrid w:val="0"/>
              <w:spacing w:line="360" w:lineRule="auto"/>
              <w:jc w:val="center"/>
              <w:rPr>
                <w:rFonts w:hint="eastAsia" w:ascii="Times New Roman" w:hAnsi="Times New Roman" w:eastAsiaTheme="minorEastAsia"/>
                <w:b/>
                <w:color w:val="0D0D0D"/>
                <w:sz w:val="24"/>
                <w:lang w:eastAsia="zh-CN"/>
              </w:rPr>
            </w:pPr>
            <w:r>
              <w:rPr>
                <w:rFonts w:hint="eastAsia" w:ascii="Times New Roman" w:hAnsi="Times New Roman"/>
                <w:b/>
                <w:color w:val="0D0D0D"/>
                <w:sz w:val="24"/>
                <w:lang w:eastAsia="zh-CN"/>
              </w:rPr>
              <w:t>作者（原始署名）</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73CFD98B">
            <w:pPr>
              <w:snapToGrid w:val="0"/>
              <w:spacing w:line="360" w:lineRule="auto"/>
              <w:jc w:val="center"/>
              <w:rPr>
                <w:rFonts w:hint="eastAsia" w:ascii="Times New Roman" w:hAnsi="Times New Roman" w:eastAsiaTheme="minorEastAsia"/>
                <w:b/>
                <w:color w:val="0D0D0D"/>
                <w:sz w:val="24"/>
                <w:lang w:eastAsia="zh-CN"/>
              </w:rPr>
            </w:pPr>
            <w:r>
              <w:rPr>
                <w:rFonts w:hint="eastAsia" w:ascii="Times New Roman" w:hAnsi="Times New Roman"/>
                <w:b/>
                <w:color w:val="0D0D0D"/>
                <w:sz w:val="24"/>
                <w:lang w:eastAsia="zh-CN"/>
              </w:rPr>
              <w:t>论文题目</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5785CC21">
            <w:pPr>
              <w:snapToGrid w:val="0"/>
              <w:spacing w:line="360" w:lineRule="auto"/>
              <w:jc w:val="center"/>
              <w:rPr>
                <w:rFonts w:hint="eastAsia" w:ascii="Times New Roman" w:hAnsi="Times New Roman" w:eastAsiaTheme="minorEastAsia"/>
                <w:b/>
                <w:color w:val="0D0D0D"/>
                <w:sz w:val="24"/>
                <w:lang w:eastAsia="zh-CN"/>
              </w:rPr>
            </w:pPr>
            <w:r>
              <w:rPr>
                <w:rFonts w:hint="eastAsia" w:ascii="Times New Roman" w:hAnsi="Times New Roman"/>
                <w:b/>
                <w:color w:val="0D0D0D"/>
                <w:sz w:val="24"/>
                <w:lang w:eastAsia="zh-CN"/>
              </w:rPr>
              <w:t>刊物与引文信息</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7854E5B">
            <w:pPr>
              <w:snapToGrid w:val="0"/>
              <w:spacing w:line="360" w:lineRule="auto"/>
              <w:jc w:val="center"/>
              <w:rPr>
                <w:rFonts w:hint="eastAsia" w:ascii="Times New Roman" w:hAnsi="Times New Roman" w:eastAsiaTheme="minorEastAsia"/>
                <w:b/>
                <w:color w:val="0D0D0D"/>
                <w:sz w:val="24"/>
                <w:lang w:eastAsia="zh-CN"/>
              </w:rPr>
            </w:pPr>
            <w:r>
              <w:rPr>
                <w:rFonts w:hint="eastAsia" w:ascii="Times New Roman" w:hAnsi="Times New Roman"/>
                <w:b/>
                <w:color w:val="0D0D0D"/>
                <w:sz w:val="24"/>
                <w:lang w:eastAsia="zh-CN"/>
              </w:rPr>
              <w:t>发表年份</w:t>
            </w:r>
          </w:p>
        </w:tc>
      </w:tr>
      <w:tr w14:paraId="4897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069C6BF0">
            <w:pPr>
              <w:snapToGrid w:val="0"/>
              <w:spacing w:line="360" w:lineRule="auto"/>
              <w:jc w:val="center"/>
              <w:rPr>
                <w:rFonts w:hint="eastAsia" w:ascii="Times New Roman" w:hAnsi="Times New Roman"/>
                <w:bCs/>
                <w:color w:val="0D0D0D"/>
                <w:sz w:val="24"/>
              </w:rPr>
            </w:pPr>
            <w:r>
              <w:rPr>
                <w:rFonts w:hint="eastAsia" w:ascii="Times New Roman" w:hAnsi="Times New Roman"/>
                <w:bCs/>
                <w:color w:val="0D0D0D"/>
                <w:sz w:val="24"/>
              </w:rPr>
              <w:t>1</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2A4C4E25">
            <w:pPr>
              <w:snapToGrid w:val="0"/>
              <w:spacing w:line="360" w:lineRule="auto"/>
              <w:jc w:val="left"/>
              <w:rPr>
                <w:rFonts w:hint="eastAsia" w:ascii="Times New Roman" w:hAnsi="Times New Roman"/>
                <w:bCs/>
                <w:color w:val="0D0D0D"/>
                <w:sz w:val="24"/>
              </w:rPr>
            </w:pPr>
            <w:r>
              <w:rPr>
                <w:rFonts w:hint="eastAsia" w:ascii="Times New Roman" w:hAnsi="Times New Roman"/>
                <w:bCs/>
                <w:color w:val="0D0D0D"/>
                <w:sz w:val="24"/>
              </w:rPr>
              <w:t xml:space="preserve">Li Z, Liu Y, Huang Y, Tan Q, Mei H, Zhu G, Liu K, </w:t>
            </w:r>
            <w:r>
              <w:rPr>
                <w:rFonts w:hint="eastAsia" w:ascii="Times New Roman" w:hAnsi="Times New Roman"/>
                <w:b/>
                <w:color w:val="0D0D0D"/>
                <w:sz w:val="24"/>
              </w:rPr>
              <w:t>Yang G#</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3E322F2E">
            <w:pPr>
              <w:snapToGrid w:val="0"/>
              <w:spacing w:line="360" w:lineRule="auto"/>
              <w:jc w:val="left"/>
              <w:rPr>
                <w:rFonts w:hint="eastAsia" w:ascii="Times New Roman" w:hAnsi="Times New Roman"/>
                <w:bCs/>
                <w:color w:val="0D0D0D"/>
                <w:sz w:val="24"/>
              </w:rPr>
            </w:pPr>
            <w:r>
              <w:rPr>
                <w:rFonts w:ascii="Times New Roman" w:hAnsi="Times New Roman"/>
                <w:bCs/>
                <w:color w:val="0D0D0D"/>
                <w:sz w:val="24"/>
              </w:rPr>
              <w:t xml:space="preserve">Circ_0000888 </w:t>
            </w:r>
          </w:p>
          <w:p w14:paraId="5D076E8B">
            <w:pPr>
              <w:snapToGrid w:val="0"/>
              <w:spacing w:line="360" w:lineRule="auto"/>
              <w:jc w:val="left"/>
              <w:rPr>
                <w:rFonts w:ascii="Times New Roman" w:hAnsi="Times New Roman"/>
                <w:bCs/>
                <w:color w:val="0D0D0D"/>
                <w:sz w:val="24"/>
              </w:rPr>
            </w:pPr>
            <w:r>
              <w:rPr>
                <w:rFonts w:ascii="Times New Roman" w:hAnsi="Times New Roman"/>
                <w:bCs/>
                <w:color w:val="0D0D0D"/>
                <w:sz w:val="24"/>
              </w:rPr>
              <w:t>regulates osteogenic differentiation of periosteal mesenchymal stem cells in congenital pseudarthrosis of the tibia</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3663C1A6">
            <w:pPr>
              <w:snapToGrid w:val="0"/>
              <w:spacing w:line="360" w:lineRule="auto"/>
              <w:jc w:val="left"/>
              <w:rPr>
                <w:rFonts w:hint="eastAsia" w:ascii="Times New Roman" w:hAnsi="Times New Roman"/>
                <w:bCs/>
                <w:color w:val="0D0D0D"/>
                <w:sz w:val="24"/>
              </w:rPr>
            </w:pPr>
            <w:r>
              <w:rPr>
                <w:rFonts w:hint="eastAsia" w:ascii="Times New Roman" w:hAnsi="Times New Roman"/>
                <w:bCs/>
                <w:color w:val="0D0D0D"/>
                <w:sz w:val="24"/>
              </w:rPr>
              <w:t>iScience. 2023 Sep14;26(10):107923</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D25B84F">
            <w:pPr>
              <w:snapToGrid w:val="0"/>
              <w:spacing w:line="360" w:lineRule="auto"/>
              <w:jc w:val="center"/>
              <w:rPr>
                <w:rFonts w:hint="eastAsia" w:ascii="Times New Roman" w:hAnsi="Times New Roman"/>
                <w:bCs/>
                <w:color w:val="0D0D0D"/>
                <w:sz w:val="24"/>
              </w:rPr>
            </w:pPr>
            <w:r>
              <w:rPr>
                <w:rFonts w:hint="eastAsia" w:ascii="Times New Roman" w:hAnsi="Times New Roman"/>
                <w:bCs/>
                <w:color w:val="0D0D0D"/>
                <w:sz w:val="24"/>
              </w:rPr>
              <w:t>2023</w:t>
            </w:r>
          </w:p>
        </w:tc>
      </w:tr>
      <w:tr w14:paraId="31175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624B8564">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45210352">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 xml:space="preserve">Qian Tan, Jiang‐Yan Wu,Yao‐Xi Liu, Kun Liu, Jin Tang, Wei‐Hua Ye, Guang‐Hui Zhu, Hai‐Bo Mei# , </w:t>
            </w:r>
            <w:r>
              <w:rPr>
                <w:rFonts w:hint="eastAsia" w:ascii="Times New Roman" w:hAnsi="Times New Roman"/>
                <w:b/>
                <w:bCs/>
                <w:color w:val="0D0D0D"/>
                <w:sz w:val="24"/>
              </w:rPr>
              <w:t>Ge Yang #</w:t>
            </w:r>
            <w:r>
              <w:rPr>
                <w:rFonts w:hint="eastAsia" w:ascii="Times New Roman" w:hAnsi="Times New Roman"/>
                <w:color w:val="0D0D0D"/>
                <w:sz w:val="24"/>
              </w:rPr>
              <w:t>（Corresponding author）</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4DAD0A75">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The neurofibromatosis type I gene promotes autophagy via mTORC1 signalling pathway to enhance new bone formation after fracture</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20EE0A5F">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J Cell Mol Med. 2020.</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25FEB350">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2020</w:t>
            </w:r>
          </w:p>
        </w:tc>
      </w:tr>
      <w:tr w14:paraId="7A1CA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36955614">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3</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7B6D7597">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Li Z, Mei H, Liu K#,</w:t>
            </w:r>
            <w:r>
              <w:rPr>
                <w:rFonts w:hint="eastAsia" w:ascii="Times New Roman" w:hAnsi="Times New Roman"/>
                <w:b/>
                <w:bCs/>
                <w:color w:val="0D0D0D"/>
                <w:sz w:val="24"/>
              </w:rPr>
              <w:t xml:space="preserve"> Yang G#</w:t>
            </w:r>
            <w:r>
              <w:rPr>
                <w:rFonts w:hint="eastAsia" w:ascii="Times New Roman" w:hAnsi="Times New Roman"/>
                <w:color w:val="0D0D0D"/>
                <w:sz w:val="24"/>
              </w:rPr>
              <w:t>（Corresponding author）</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0E2B649E">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Differential expression and effect analysis of lncRNA-mRNA in congenital pseudarthrosis of the tibia</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02D9E632">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Front Genet. 2023</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DB8AEB6">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2023</w:t>
            </w:r>
          </w:p>
        </w:tc>
      </w:tr>
      <w:tr w14:paraId="7227B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05A12291">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4</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24CAB068">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 xml:space="preserve">Li Z, Yu H, Huang Y, Liu Y, Zhu G, Tan Q, Mei H, </w:t>
            </w:r>
            <w:r>
              <w:rPr>
                <w:rFonts w:hint="eastAsia" w:ascii="Times New Roman" w:hAnsi="Times New Roman"/>
                <w:b/>
                <w:bCs/>
                <w:color w:val="0D0D0D"/>
                <w:sz w:val="24"/>
              </w:rPr>
              <w:t>Yang G#</w:t>
            </w:r>
            <w:r>
              <w:rPr>
                <w:rFonts w:hint="eastAsia" w:ascii="Times New Roman" w:hAnsi="Times New Roman"/>
                <w:color w:val="0D0D0D"/>
                <w:sz w:val="24"/>
              </w:rPr>
              <w:t>（Corresponding author）</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234012B9">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Analysis of risk factors affecting union and refracture after combined surgery for congenital pseudarthrosis of the tibia: a retrospective study of 255 cases</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0610BF57">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 xml:space="preserve">Orphanet J Rare Dis. 2022 </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5F76123">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2022</w:t>
            </w:r>
          </w:p>
        </w:tc>
      </w:tr>
      <w:tr w14:paraId="28B31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01E89533">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5</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29AD248E">
            <w:pPr>
              <w:snapToGrid w:val="0"/>
              <w:spacing w:line="360" w:lineRule="auto"/>
              <w:jc w:val="left"/>
              <w:rPr>
                <w:rFonts w:hint="eastAsia" w:ascii="Times New Roman" w:hAnsi="Times New Roman"/>
                <w:color w:val="0D0D0D"/>
                <w:sz w:val="24"/>
              </w:rPr>
            </w:pPr>
            <w:r>
              <w:rPr>
                <w:rFonts w:hint="eastAsia" w:ascii="Times New Roman" w:hAnsi="Times New Roman"/>
                <w:b/>
                <w:bCs/>
                <w:color w:val="0D0D0D"/>
                <w:sz w:val="24"/>
              </w:rPr>
              <w:t>Yang G</w:t>
            </w:r>
            <w:r>
              <w:rPr>
                <w:rFonts w:hint="eastAsia" w:ascii="Times New Roman" w:hAnsi="Times New Roman"/>
                <w:color w:val="0D0D0D"/>
                <w:sz w:val="24"/>
              </w:rPr>
              <w:t>, Xu S, Mei H, Zhu G, Liu Y, Tan Q, Yu H</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53659B28">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Are Children Suffering From Congenital Pseudarthrosis of the Tibia Associated With Decreased Bone Strength? Front Pediatr</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27CA8646">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2022 May 9;10:859580.</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10F859B3">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2022</w:t>
            </w:r>
          </w:p>
        </w:tc>
      </w:tr>
      <w:tr w14:paraId="2FAF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7E50D37A">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6</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4182EDEC">
            <w:pPr>
              <w:snapToGrid w:val="0"/>
              <w:spacing w:line="360" w:lineRule="auto"/>
              <w:jc w:val="left"/>
              <w:rPr>
                <w:rFonts w:hint="eastAsia" w:ascii="Times New Roman" w:hAnsi="Times New Roman"/>
                <w:color w:val="0D0D0D"/>
                <w:sz w:val="24"/>
              </w:rPr>
            </w:pPr>
            <w:r>
              <w:rPr>
                <w:rFonts w:hint="eastAsia" w:ascii="Times New Roman" w:hAnsi="Times New Roman"/>
                <w:b/>
                <w:bCs/>
                <w:color w:val="0D0D0D"/>
                <w:sz w:val="24"/>
              </w:rPr>
              <w:t>Ge Yang *</w:t>
            </w:r>
            <w:r>
              <w:rPr>
                <w:rFonts w:hint="eastAsia" w:ascii="Times New Roman" w:hAnsi="Times New Roman"/>
                <w:color w:val="0D0D0D"/>
                <w:sz w:val="24"/>
              </w:rPr>
              <w:t>, Hui Yu *, Yaoxi Liu, Weihua Ye, Guanghui Zhu, An Yan, Qian Tan# , Haibo Mei#</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41CA020D">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Serum-derived exosomes from neurofibromatosis type 1 congenitaltibial pseudarthrosis impaired bone by promoting osteoclastogenesis and inhibiting osteogenesis</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7E480879">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Exp Bio Med. 2020.</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4F9BCD10">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2020</w:t>
            </w:r>
          </w:p>
        </w:tc>
      </w:tr>
      <w:tr w14:paraId="515CD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4359CED8">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7</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0CE4C2FB">
            <w:pPr>
              <w:snapToGrid w:val="0"/>
              <w:spacing w:line="360" w:lineRule="auto"/>
              <w:jc w:val="left"/>
              <w:rPr>
                <w:rFonts w:hint="eastAsia" w:ascii="Times New Roman" w:hAnsi="Times New Roman"/>
                <w:color w:val="0D0D0D"/>
                <w:sz w:val="24"/>
              </w:rPr>
            </w:pPr>
            <w:r>
              <w:rPr>
                <w:rFonts w:hint="eastAsia" w:ascii="Times New Roman" w:hAnsi="Times New Roman"/>
                <w:b/>
                <w:bCs/>
                <w:color w:val="0D0D0D"/>
                <w:sz w:val="24"/>
              </w:rPr>
              <w:t>Yang G*</w:t>
            </w:r>
            <w:r>
              <w:rPr>
                <w:rFonts w:hint="eastAsia" w:ascii="Times New Roman" w:hAnsi="Times New Roman"/>
                <w:color w:val="0D0D0D"/>
                <w:sz w:val="24"/>
              </w:rPr>
              <w:t>, Tan Q*, Li Z, Liu K, Wu J, Ye W, Mei H#, Yu H#</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4CF7D0CF">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The AMPK pathway triggers autophagy during CSF1-induced microglial activation and may be implicated in inducing neuropathic pain</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51827042">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J Neuroimmunol. 2020.</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BD6DF74">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2020</w:t>
            </w:r>
          </w:p>
        </w:tc>
      </w:tr>
      <w:tr w14:paraId="637F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61575CAA">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8</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329C9CC5">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 xml:space="preserve">Yu H, Li Z, Tan Q, Liu K, Zhu G, Mei H, </w:t>
            </w:r>
            <w:r>
              <w:rPr>
                <w:rFonts w:hint="eastAsia" w:ascii="Times New Roman" w:hAnsi="Times New Roman"/>
                <w:b/>
                <w:bCs/>
                <w:color w:val="0D0D0D"/>
                <w:sz w:val="24"/>
              </w:rPr>
              <w:t>Yang G#</w:t>
            </w:r>
            <w:r>
              <w:rPr>
                <w:rFonts w:hint="eastAsia" w:ascii="Times New Roman" w:hAnsi="Times New Roman"/>
                <w:color w:val="0D0D0D"/>
                <w:sz w:val="24"/>
              </w:rPr>
              <w:t>（Corresponding author）</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07E415F6">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Association between preoperative concurrent fibular pseudarthrosis and risk of postoperative ankle valgus in patients with congenital pseudarthrosis of the tibia</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3DD700CF">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BMJ Paediatr Open. 2023 Feb;7(1):e001763.</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38FD472B">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2023</w:t>
            </w:r>
          </w:p>
        </w:tc>
      </w:tr>
      <w:tr w14:paraId="57B1F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24F519D5">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9</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4FD4049F">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 xml:space="preserve">刘小卫, </w:t>
            </w:r>
            <w:r>
              <w:rPr>
                <w:rFonts w:hint="eastAsia" w:ascii="Times New Roman" w:hAnsi="Times New Roman"/>
                <w:b/>
                <w:bCs/>
                <w:color w:val="0D0D0D"/>
                <w:sz w:val="24"/>
              </w:rPr>
              <w:t>杨戈#</w:t>
            </w:r>
            <w:r>
              <w:rPr>
                <w:rFonts w:hint="eastAsia" w:ascii="Times New Roman" w:hAnsi="Times New Roman"/>
                <w:color w:val="0D0D0D"/>
                <w:sz w:val="24"/>
              </w:rPr>
              <w:t>（通讯作者）, 梅海波</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134C0149">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三合一骨融合治疗儿童先天性胫骨假关节的三维有限元分析[J]</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27444780">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中国组织工程研究, 2022, 26(33):5.</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5DB9379">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2022</w:t>
            </w:r>
          </w:p>
        </w:tc>
      </w:tr>
      <w:tr w14:paraId="6032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96" w:type="dxa"/>
            <w:bottom w:w="45" w:type="dxa"/>
            <w:right w:w="96" w:type="dxa"/>
          </w:tblCellMar>
        </w:tblPrEx>
        <w:trPr>
          <w:trHeight w:val="0" w:hRule="atLeast"/>
          <w:jc w:val="center"/>
        </w:trPr>
        <w:tc>
          <w:tcPr>
            <w:tcW w:w="792" w:type="dxa"/>
            <w:tcBorders>
              <w:top w:val="single" w:color="auto" w:sz="4" w:space="0"/>
              <w:left w:val="single" w:color="auto" w:sz="4" w:space="0"/>
              <w:bottom w:val="single" w:color="auto" w:sz="4" w:space="0"/>
              <w:right w:val="single" w:color="auto" w:sz="4" w:space="0"/>
            </w:tcBorders>
            <w:noWrap w:val="0"/>
            <w:vAlign w:val="center"/>
          </w:tcPr>
          <w:p w14:paraId="3CBB043B">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10</w:t>
            </w:r>
          </w:p>
        </w:tc>
        <w:tc>
          <w:tcPr>
            <w:tcW w:w="2407" w:type="dxa"/>
            <w:tcBorders>
              <w:top w:val="single" w:color="auto" w:sz="4" w:space="0"/>
              <w:left w:val="single" w:color="auto" w:sz="4" w:space="0"/>
              <w:bottom w:val="single" w:color="auto" w:sz="4" w:space="0"/>
              <w:right w:val="single" w:color="auto" w:sz="4" w:space="0"/>
            </w:tcBorders>
            <w:noWrap w:val="0"/>
            <w:vAlign w:val="center"/>
          </w:tcPr>
          <w:p w14:paraId="4BA42B3B">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简书浪，黄一勇，许思宇，朱光辉，谭谦，刘昆，梅海波，刘小艳，</w:t>
            </w:r>
            <w:r>
              <w:rPr>
                <w:rFonts w:hint="eastAsia" w:ascii="Times New Roman" w:hAnsi="Times New Roman"/>
                <w:b/>
                <w:bCs/>
                <w:color w:val="0D0D0D"/>
                <w:sz w:val="24"/>
              </w:rPr>
              <w:t>杨戈#</w:t>
            </w:r>
            <w:r>
              <w:rPr>
                <w:rFonts w:hint="eastAsia" w:ascii="Times New Roman" w:hAnsi="Times New Roman"/>
                <w:color w:val="0D0D0D"/>
                <w:sz w:val="24"/>
              </w:rPr>
              <w:t xml:space="preserve"> （通讯作者）</w:t>
            </w:r>
          </w:p>
        </w:tc>
        <w:tc>
          <w:tcPr>
            <w:tcW w:w="2571" w:type="dxa"/>
            <w:tcBorders>
              <w:top w:val="single" w:color="auto" w:sz="4" w:space="0"/>
              <w:left w:val="single" w:color="auto" w:sz="4" w:space="0"/>
              <w:bottom w:val="single" w:color="auto" w:sz="4" w:space="0"/>
              <w:right w:val="single" w:color="auto" w:sz="4" w:space="0"/>
            </w:tcBorders>
            <w:noWrap w:val="0"/>
            <w:vAlign w:val="center"/>
          </w:tcPr>
          <w:p w14:paraId="0F79866F">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先天性胫骨假关节病变骨膜对大鼠胫骨发育的影响 [J]</w:t>
            </w:r>
          </w:p>
        </w:tc>
        <w:tc>
          <w:tcPr>
            <w:tcW w:w="2384" w:type="dxa"/>
            <w:tcBorders>
              <w:top w:val="single" w:color="auto" w:sz="4" w:space="0"/>
              <w:left w:val="single" w:color="auto" w:sz="4" w:space="0"/>
              <w:bottom w:val="single" w:color="auto" w:sz="4" w:space="0"/>
              <w:right w:val="single" w:color="auto" w:sz="4" w:space="0"/>
            </w:tcBorders>
            <w:noWrap w:val="0"/>
            <w:vAlign w:val="center"/>
          </w:tcPr>
          <w:p w14:paraId="1680D0A4">
            <w:pPr>
              <w:snapToGrid w:val="0"/>
              <w:spacing w:line="360" w:lineRule="auto"/>
              <w:jc w:val="left"/>
              <w:rPr>
                <w:rFonts w:hint="eastAsia" w:ascii="Times New Roman" w:hAnsi="Times New Roman"/>
                <w:color w:val="0D0D0D"/>
                <w:sz w:val="24"/>
              </w:rPr>
            </w:pPr>
            <w:r>
              <w:rPr>
                <w:rFonts w:hint="eastAsia" w:ascii="Times New Roman" w:hAnsi="Times New Roman"/>
                <w:color w:val="0D0D0D"/>
                <w:sz w:val="24"/>
              </w:rPr>
              <w:t>中华 小儿外科杂志, 2023, 44(2)10.</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51BB234E">
            <w:pPr>
              <w:snapToGrid w:val="0"/>
              <w:spacing w:line="360" w:lineRule="auto"/>
              <w:jc w:val="center"/>
              <w:rPr>
                <w:rFonts w:hint="eastAsia" w:ascii="Times New Roman" w:hAnsi="Times New Roman"/>
                <w:color w:val="0D0D0D"/>
                <w:sz w:val="24"/>
              </w:rPr>
            </w:pPr>
            <w:r>
              <w:rPr>
                <w:rFonts w:hint="eastAsia" w:ascii="Times New Roman" w:hAnsi="Times New Roman"/>
                <w:color w:val="0D0D0D"/>
                <w:sz w:val="24"/>
              </w:rPr>
              <w:t>2023</w:t>
            </w:r>
          </w:p>
        </w:tc>
      </w:tr>
    </w:tbl>
    <w:p w14:paraId="75BDB785">
      <w:pPr>
        <w:spacing w:line="360" w:lineRule="auto"/>
        <w:rPr>
          <w:rFonts w:hint="eastAsia" w:ascii="Times New Roman" w:hAnsi="Times New Roman"/>
          <w:color w:val="0D0D0D"/>
          <w:sz w:val="24"/>
        </w:rPr>
      </w:pPr>
    </w:p>
    <w:p w14:paraId="70184DC8">
      <w:pPr>
        <w:spacing w:line="360" w:lineRule="auto"/>
        <w:ind w:firstLine="482" w:firstLineChars="200"/>
        <w:rPr>
          <w:rFonts w:ascii="Times New Roman" w:hAnsi="Times New Roman"/>
          <w:color w:val="0D0D0D"/>
          <w:sz w:val="24"/>
        </w:rPr>
      </w:pPr>
      <w:r>
        <w:rPr>
          <w:rFonts w:ascii="Times New Roman" w:hAnsi="Times New Roman"/>
          <w:b/>
          <w:bCs/>
          <w:color w:val="0D0D0D"/>
          <w:sz w:val="24"/>
        </w:rPr>
        <w:t>6.知识产权证明目录</w:t>
      </w:r>
      <w:r>
        <w:rPr>
          <w:rFonts w:hint="eastAsia" w:ascii="Times New Roman" w:hAnsi="Times New Roman"/>
          <w:color w:val="0D0D0D"/>
          <w:sz w:val="24"/>
        </w:rPr>
        <w:t>：无</w:t>
      </w:r>
    </w:p>
    <w:p w14:paraId="70CAC419">
      <w:pPr>
        <w:spacing w:line="360" w:lineRule="auto"/>
        <w:ind w:firstLine="482" w:firstLineChars="200"/>
        <w:rPr>
          <w:rFonts w:ascii="Times New Roman" w:hAnsi="Times New Roman"/>
          <w:color w:val="0D0D0D"/>
          <w:sz w:val="24"/>
        </w:rPr>
      </w:pPr>
      <w:r>
        <w:rPr>
          <w:rFonts w:ascii="Times New Roman" w:hAnsi="Times New Roman"/>
          <w:b/>
          <w:bCs/>
          <w:color w:val="0D0D0D"/>
          <w:sz w:val="24"/>
        </w:rPr>
        <w:t>7.科研基金计划、基金目录</w:t>
      </w:r>
      <w:r>
        <w:rPr>
          <w:rFonts w:hint="eastAsia" w:ascii="Times New Roman" w:hAnsi="Times New Roman"/>
          <w:color w:val="0D0D0D"/>
          <w:sz w:val="24"/>
        </w:rPr>
        <w:t>：</w:t>
      </w:r>
    </w:p>
    <w:p w14:paraId="5F4A0AAE">
      <w:pPr>
        <w:spacing w:line="360" w:lineRule="auto"/>
        <w:ind w:firstLine="480" w:firstLineChars="200"/>
        <w:rPr>
          <w:rFonts w:hint="default" w:ascii="Times New Roman" w:hAnsi="Times New Roman" w:eastAsia="宋体" w:cs="Times New Roman"/>
          <w:color w:val="0D0D0D"/>
          <w:sz w:val="24"/>
          <w:lang w:val="en-US" w:eastAsia="zh-CN"/>
        </w:rPr>
      </w:pPr>
      <w:r>
        <w:rPr>
          <w:rFonts w:ascii="Times New Roman" w:hAnsi="Times New Roman" w:eastAsia="宋体" w:cs="Times New Roman"/>
          <w:color w:val="0D0D0D"/>
          <w:sz w:val="24"/>
        </w:rPr>
        <w:t>杨戈</w:t>
      </w:r>
      <w:r>
        <w:rPr>
          <w:rFonts w:hint="default" w:ascii="Times New Roman" w:hAnsi="Times New Roman" w:eastAsia="宋体" w:cs="Times New Roman"/>
          <w:color w:val="0D0D0D"/>
          <w:sz w:val="24"/>
        </w:rPr>
        <w:t>‌，中国博士后科学基金（国家级），先天性胫骨假关节骨膜干细胞成骨分化障碍及其分子程序，2019年8月—2020年12月</w:t>
      </w:r>
      <w:r>
        <w:rPr>
          <w:rFonts w:hint="default" w:ascii="Times New Roman" w:hAnsi="Times New Roman" w:eastAsia="宋体" w:cs="Times New Roman"/>
          <w:color w:val="0D0D0D"/>
          <w:sz w:val="24"/>
        </w:rPr>
        <w:br w:type="textWrapping"/>
      </w:r>
      <w:r>
        <w:rPr>
          <w:rFonts w:hint="eastAsia" w:ascii="Times New Roman" w:hAnsi="Times New Roman" w:eastAsia="宋体" w:cs="Times New Roman"/>
          <w:color w:val="0D0D0D"/>
          <w:sz w:val="24"/>
          <w:lang w:val="en-US" w:eastAsia="zh-CN"/>
        </w:rPr>
        <w:t xml:space="preserve">   </w:t>
      </w:r>
      <w:r>
        <w:rPr>
          <w:rFonts w:hint="default" w:ascii="Times New Roman" w:hAnsi="Times New Roman" w:eastAsia="宋体" w:cs="Times New Roman"/>
          <w:color w:val="0D0D0D"/>
          <w:sz w:val="24"/>
        </w:rPr>
        <w:t>‌杨戈‌，省自然科学基金（省级），基于CSF1/自噬信号通路调节小胶质细胞活化及在椎间盘源性腰痛中的作用和机制研究，2020年1月—2021年9月</w:t>
      </w:r>
      <w:r>
        <w:rPr>
          <w:rFonts w:hint="default" w:ascii="Times New Roman" w:hAnsi="Times New Roman" w:eastAsia="宋体" w:cs="Times New Roman"/>
          <w:color w:val="0D0D0D"/>
          <w:sz w:val="24"/>
        </w:rPr>
        <w:br w:type="textWrapping"/>
      </w:r>
      <w:r>
        <w:rPr>
          <w:rFonts w:hint="eastAsia" w:ascii="Times New Roman" w:hAnsi="Times New Roman" w:eastAsia="宋体" w:cs="Times New Roman"/>
          <w:color w:val="0D0D0D"/>
          <w:sz w:val="24"/>
          <w:lang w:val="en-US" w:eastAsia="zh-CN"/>
        </w:rPr>
        <w:t xml:space="preserve">   </w:t>
      </w:r>
      <w:r>
        <w:rPr>
          <w:rFonts w:hint="default" w:ascii="Times New Roman" w:hAnsi="Times New Roman" w:eastAsia="宋体" w:cs="Times New Roman"/>
          <w:color w:val="0D0D0D"/>
          <w:sz w:val="24"/>
        </w:rPr>
        <w:t>‌杨戈‌，省卫生健康委（省级），AMPK/自噬信号通路介导小胶质细胞活性对神经病理性疼痛影响的机制研究，2020年1月—2021年12月</w:t>
      </w:r>
      <w:r>
        <w:rPr>
          <w:rFonts w:hint="default" w:ascii="Times New Roman" w:hAnsi="Times New Roman" w:eastAsia="宋体" w:cs="Times New Roman"/>
          <w:color w:val="0D0D0D"/>
          <w:sz w:val="24"/>
        </w:rPr>
        <w:br w:type="textWrapping"/>
      </w:r>
      <w:r>
        <w:rPr>
          <w:rFonts w:hint="eastAsia" w:ascii="Times New Roman" w:hAnsi="Times New Roman" w:eastAsia="宋体" w:cs="Times New Roman"/>
          <w:color w:val="0D0D0D"/>
          <w:sz w:val="24"/>
          <w:lang w:val="en-US" w:eastAsia="zh-CN"/>
        </w:rPr>
        <w:t xml:space="preserve">   </w:t>
      </w:r>
      <w:r>
        <w:rPr>
          <w:rFonts w:hint="default" w:ascii="Times New Roman" w:hAnsi="Times New Roman" w:eastAsia="宋体" w:cs="Times New Roman"/>
          <w:color w:val="0D0D0D"/>
          <w:sz w:val="24"/>
        </w:rPr>
        <w:t>‌谭谦‌，省自然科学基金（省级），Ti-Nb-X合金抗感染组织工程骨构建及在骨缺损治疗中的应用，2020年1月—2022年12月</w:t>
      </w:r>
      <w:r>
        <w:rPr>
          <w:rFonts w:hint="default" w:ascii="Times New Roman" w:hAnsi="Times New Roman" w:eastAsia="宋体" w:cs="Times New Roman"/>
          <w:color w:val="0D0D0D"/>
          <w:sz w:val="24"/>
        </w:rPr>
        <w:br w:type="textWrapping"/>
      </w:r>
      <w:r>
        <w:rPr>
          <w:rFonts w:hint="eastAsia" w:ascii="Times New Roman" w:hAnsi="Times New Roman" w:eastAsia="宋体" w:cs="Times New Roman"/>
          <w:color w:val="0D0D0D"/>
          <w:sz w:val="24"/>
          <w:lang w:val="en-US" w:eastAsia="zh-CN"/>
        </w:rPr>
        <w:t xml:space="preserve">   </w:t>
      </w:r>
      <w:r>
        <w:rPr>
          <w:rFonts w:hint="default" w:ascii="Times New Roman" w:hAnsi="Times New Roman" w:eastAsia="宋体" w:cs="Times New Roman"/>
          <w:color w:val="0D0D0D"/>
          <w:sz w:val="24"/>
        </w:rPr>
        <w:t>‌李卓扬‌，中国博士后科学基金（国家级），小分子RNA调控的骨膜干细胞功能障碍在先天性胫骨假关节中的作用，2019年1月—</w:t>
      </w:r>
      <w:r>
        <w:rPr>
          <w:rFonts w:hint="eastAsia" w:ascii="Times New Roman" w:hAnsi="Times New Roman" w:eastAsia="宋体" w:cs="Times New Roman"/>
          <w:color w:val="0D0D0D"/>
          <w:sz w:val="24"/>
          <w:lang w:val="en-US" w:eastAsia="zh-CN"/>
        </w:rPr>
        <w:t>2021年12月</w:t>
      </w:r>
    </w:p>
    <w:p w14:paraId="3358C762">
      <w:pPr>
        <w:spacing w:line="360" w:lineRule="auto"/>
        <w:ind w:firstLine="482" w:firstLineChars="200"/>
        <w:rPr>
          <w:rFonts w:ascii="Times New Roman" w:hAnsi="Times New Roman"/>
          <w:color w:val="0D0D0D"/>
          <w:sz w:val="24"/>
        </w:rPr>
      </w:pPr>
      <w:r>
        <w:rPr>
          <w:rFonts w:ascii="Times New Roman" w:hAnsi="Times New Roman"/>
          <w:b/>
          <w:bCs/>
          <w:color w:val="0D0D0D"/>
          <w:sz w:val="24"/>
        </w:rPr>
        <w:t>8.应用单位目录</w:t>
      </w:r>
      <w:r>
        <w:rPr>
          <w:rFonts w:hint="eastAsia" w:ascii="Times New Roman" w:hAnsi="Times New Roman"/>
          <w:color w:val="0D0D0D"/>
          <w:sz w:val="24"/>
        </w:rPr>
        <w:t>：无</w:t>
      </w:r>
    </w:p>
    <w:p w14:paraId="34A8F59E">
      <w:pPr>
        <w:spacing w:line="360" w:lineRule="auto"/>
        <w:ind w:firstLine="482" w:firstLineChars="200"/>
        <w:rPr>
          <w:rFonts w:ascii="Times New Roman" w:hAnsi="Times New Roman"/>
          <w:color w:val="0D0D0D"/>
          <w:sz w:val="24"/>
        </w:rPr>
      </w:pPr>
      <w:r>
        <w:rPr>
          <w:rFonts w:ascii="Times New Roman" w:hAnsi="Times New Roman"/>
          <w:b/>
          <w:bCs/>
          <w:color w:val="0D0D0D"/>
          <w:sz w:val="24"/>
        </w:rPr>
        <w:t>9.科普作品目录</w:t>
      </w:r>
      <w:r>
        <w:rPr>
          <w:rFonts w:hint="eastAsia" w:ascii="Times New Roman" w:hAnsi="Times New Roman"/>
          <w:color w:val="0D0D0D"/>
          <w:sz w:val="24"/>
        </w:rPr>
        <w:t>：无</w:t>
      </w:r>
    </w:p>
    <w:p w14:paraId="78D5996F">
      <w:pPr>
        <w:spacing w:line="360" w:lineRule="auto"/>
        <w:ind w:firstLine="482" w:firstLineChars="200"/>
        <w:rPr>
          <w:rFonts w:ascii="Times New Roman" w:hAnsi="Times New Roman"/>
          <w:color w:val="0D0D0D"/>
          <w:sz w:val="24"/>
        </w:rPr>
      </w:pPr>
      <w:r>
        <w:rPr>
          <w:rFonts w:ascii="Times New Roman" w:hAnsi="Times New Roman"/>
          <w:b/>
          <w:bCs/>
          <w:color w:val="0D0D0D"/>
          <w:sz w:val="24"/>
        </w:rPr>
        <w:t>10.完成人情况</w:t>
      </w:r>
      <w:r>
        <w:rPr>
          <w:rFonts w:ascii="Times New Roman" w:hAnsi="Times New Roman"/>
          <w:color w:val="0D0D0D"/>
          <w:sz w:val="24"/>
        </w:rPr>
        <w:t>，包括姓名、排名、职称、行政职务、工作单位、对本项目的贡献</w:t>
      </w:r>
    </w:p>
    <w:p w14:paraId="2464A070">
      <w:pPr>
        <w:spacing w:line="360" w:lineRule="auto"/>
        <w:ind w:firstLine="480" w:firstLineChars="200"/>
        <w:rPr>
          <w:rFonts w:hint="eastAsia" w:ascii="Times New Roman" w:hAnsi="Times New Roman" w:eastAsia="宋体"/>
          <w:color w:val="0D0D0D"/>
          <w:sz w:val="24"/>
          <w:lang w:val="en-US" w:eastAsia="zh-CN"/>
        </w:rPr>
      </w:pPr>
      <w:r>
        <w:rPr>
          <w:rFonts w:hint="eastAsia" w:ascii="Times New Roman" w:hAnsi="Times New Roman" w:eastAsia="宋体"/>
          <w:color w:val="0D0D0D"/>
          <w:sz w:val="24"/>
          <w:lang w:val="en-US" w:eastAsia="zh-CN"/>
        </w:rPr>
        <w:t>杨戈，排名第一，副主任医师，骨科副主任，湖南省儿童医院（中南大学湘雅医学院附属儿童医院），本项目</w:t>
      </w:r>
      <w:r>
        <w:rPr>
          <w:rFonts w:hint="default" w:ascii="Times New Roman" w:hAnsi="Times New Roman" w:eastAsia="宋体"/>
          <w:color w:val="0D0D0D"/>
          <w:sz w:val="24"/>
          <w:lang w:val="en-US" w:eastAsia="zh-CN"/>
        </w:rPr>
        <w:t>总负责</w:t>
      </w:r>
      <w:r>
        <w:rPr>
          <w:rFonts w:hint="eastAsia" w:ascii="Times New Roman" w:hAnsi="Times New Roman"/>
          <w:color w:val="0D0D0D"/>
          <w:sz w:val="24"/>
          <w:lang w:val="en-US" w:eastAsia="zh-CN"/>
        </w:rPr>
        <w:t>，全面负责项目的总体构思、研究方案设计与实施推进。</w:t>
      </w:r>
    </w:p>
    <w:p w14:paraId="39ABA578">
      <w:pPr>
        <w:spacing w:line="360" w:lineRule="auto"/>
        <w:ind w:firstLine="480" w:firstLineChars="200"/>
        <w:rPr>
          <w:rFonts w:hint="eastAsia" w:ascii="Times New Roman" w:hAnsi="Times New Roman" w:eastAsia="宋体"/>
          <w:color w:val="0D0D0D"/>
          <w:sz w:val="24"/>
          <w:lang w:val="en-US" w:eastAsia="zh-CN"/>
        </w:rPr>
      </w:pPr>
      <w:r>
        <w:rPr>
          <w:rFonts w:hint="eastAsia" w:ascii="Times New Roman" w:hAnsi="Times New Roman" w:eastAsia="宋体"/>
          <w:color w:val="0D0D0D"/>
          <w:sz w:val="24"/>
          <w:lang w:val="en-US" w:eastAsia="zh-CN"/>
        </w:rPr>
        <w:t>谭谦，排名第二，主任医师，骨科副主任，湖南省儿童医院（中南大学湘雅医学院附属儿童医院），本项目</w:t>
      </w:r>
      <w:r>
        <w:rPr>
          <w:rFonts w:hint="eastAsia" w:ascii="Times New Roman" w:hAnsi="Times New Roman"/>
          <w:color w:val="0D0D0D"/>
          <w:sz w:val="24"/>
          <w:lang w:val="en-US" w:eastAsia="zh-CN"/>
        </w:rPr>
        <w:t>诊疗计划</w:t>
      </w:r>
      <w:r>
        <w:rPr>
          <w:rFonts w:hint="eastAsia" w:ascii="Times New Roman" w:hAnsi="Times New Roman" w:eastAsia="宋体"/>
          <w:color w:val="0D0D0D"/>
          <w:sz w:val="24"/>
          <w:lang w:val="en-US" w:eastAsia="zh-CN"/>
        </w:rPr>
        <w:t>的制定与实施、临床数据</w:t>
      </w:r>
      <w:r>
        <w:rPr>
          <w:rFonts w:hint="eastAsia" w:ascii="Times New Roman" w:hAnsi="Times New Roman"/>
          <w:color w:val="0D0D0D"/>
          <w:sz w:val="24"/>
          <w:lang w:val="en-US" w:eastAsia="zh-CN"/>
        </w:rPr>
        <w:t>库建立。</w:t>
      </w:r>
    </w:p>
    <w:p w14:paraId="20E94EA9">
      <w:pPr>
        <w:spacing w:line="360" w:lineRule="auto"/>
        <w:ind w:firstLine="480" w:firstLineChars="200"/>
        <w:rPr>
          <w:rFonts w:hint="eastAsia" w:ascii="Times New Roman" w:hAnsi="Times New Roman"/>
          <w:color w:val="0D0D0D"/>
          <w:sz w:val="24"/>
          <w:lang w:val="en-US" w:eastAsia="zh-CN"/>
        </w:rPr>
      </w:pPr>
      <w:r>
        <w:rPr>
          <w:rFonts w:hint="eastAsia" w:ascii="Times New Roman" w:hAnsi="Times New Roman" w:eastAsia="宋体"/>
          <w:color w:val="0D0D0D"/>
          <w:sz w:val="24"/>
          <w:lang w:val="en-US" w:eastAsia="zh-CN"/>
        </w:rPr>
        <w:t>李卓扬</w:t>
      </w:r>
      <w:r>
        <w:rPr>
          <w:rFonts w:hint="eastAsia" w:ascii="Times New Roman" w:hAnsi="Times New Roman"/>
          <w:color w:val="0D0D0D"/>
          <w:sz w:val="24"/>
          <w:lang w:val="en-US" w:eastAsia="zh-CN"/>
        </w:rPr>
        <w:t>，</w:t>
      </w:r>
      <w:r>
        <w:rPr>
          <w:rFonts w:hint="eastAsia" w:ascii="Times New Roman" w:hAnsi="Times New Roman" w:eastAsia="宋体"/>
          <w:color w:val="0D0D0D"/>
          <w:sz w:val="24"/>
          <w:lang w:val="en-US" w:eastAsia="zh-CN"/>
        </w:rPr>
        <w:t>排名第三，副主任医师，</w:t>
      </w:r>
      <w:r>
        <w:rPr>
          <w:rFonts w:hint="eastAsia" w:ascii="Times New Roman" w:hAnsi="Times New Roman"/>
          <w:color w:val="0D0D0D"/>
          <w:sz w:val="24"/>
          <w:lang w:val="en-US" w:eastAsia="zh-CN"/>
        </w:rPr>
        <w:t>浙江大学医学院附属第一医院，负责项目的机制探索和数据分析</w:t>
      </w:r>
    </w:p>
    <w:p w14:paraId="33F91F26">
      <w:pPr>
        <w:spacing w:line="360" w:lineRule="auto"/>
        <w:ind w:firstLine="480" w:firstLineChars="200"/>
        <w:rPr>
          <w:rFonts w:hint="eastAsia" w:ascii="Times New Roman" w:hAnsi="Times New Roman" w:eastAsia="宋体"/>
          <w:color w:val="0D0D0D"/>
          <w:sz w:val="24"/>
          <w:lang w:val="en-US" w:eastAsia="zh-CN"/>
        </w:rPr>
      </w:pPr>
      <w:r>
        <w:rPr>
          <w:rFonts w:hint="eastAsia" w:ascii="Times New Roman" w:hAnsi="Times New Roman" w:eastAsia="宋体"/>
          <w:color w:val="0D0D0D"/>
          <w:sz w:val="24"/>
          <w:lang w:val="en-US" w:eastAsia="zh-CN"/>
        </w:rPr>
        <w:t>朱光辉</w:t>
      </w:r>
      <w:r>
        <w:rPr>
          <w:rFonts w:hint="eastAsia" w:ascii="Times New Roman" w:hAnsi="Times New Roman"/>
          <w:color w:val="0D0D0D"/>
          <w:sz w:val="24"/>
          <w:lang w:val="en-US" w:eastAsia="zh-CN"/>
        </w:rPr>
        <w:t>，</w:t>
      </w:r>
      <w:r>
        <w:rPr>
          <w:rFonts w:hint="eastAsia" w:ascii="Times New Roman" w:hAnsi="Times New Roman" w:eastAsia="宋体"/>
          <w:color w:val="0D0D0D"/>
          <w:sz w:val="24"/>
          <w:lang w:val="en-US" w:eastAsia="zh-CN"/>
        </w:rPr>
        <w:t>排名第四，主任医师，骨科主任，湖南省儿童医院（中南大学湘雅医学院附属儿童医院），组织、协调与资源保障</w:t>
      </w:r>
    </w:p>
    <w:p w14:paraId="54FFE77B">
      <w:pPr>
        <w:spacing w:line="360" w:lineRule="auto"/>
        <w:ind w:firstLine="480" w:firstLineChars="200"/>
        <w:rPr>
          <w:rFonts w:hint="eastAsia" w:ascii="Times New Roman" w:hAnsi="Times New Roman"/>
          <w:color w:val="0D0D0D"/>
          <w:sz w:val="24"/>
          <w:lang w:val="en-US" w:eastAsia="zh-CN"/>
        </w:rPr>
      </w:pPr>
    </w:p>
    <w:p w14:paraId="0B9921DA">
      <w:pPr>
        <w:spacing w:line="360" w:lineRule="auto"/>
        <w:ind w:firstLine="482" w:firstLineChars="200"/>
        <w:rPr>
          <w:rFonts w:hint="eastAsia" w:ascii="Times New Roman" w:hAnsi="Times New Roman"/>
          <w:color w:val="0D0D0D"/>
          <w:sz w:val="24"/>
        </w:rPr>
      </w:pPr>
      <w:r>
        <w:rPr>
          <w:rFonts w:ascii="Times New Roman" w:hAnsi="Times New Roman"/>
          <w:b/>
          <w:bCs/>
          <w:color w:val="0D0D0D"/>
          <w:sz w:val="24"/>
        </w:rPr>
        <w:t>11.完成单位情况</w:t>
      </w:r>
      <w:r>
        <w:rPr>
          <w:rFonts w:ascii="Times New Roman" w:hAnsi="Times New Roman"/>
          <w:color w:val="0D0D0D"/>
          <w:sz w:val="24"/>
        </w:rPr>
        <w:t>，包括单位名称、排名，对本项目的献贡</w:t>
      </w:r>
      <w:r>
        <w:rPr>
          <w:rFonts w:hint="eastAsia" w:ascii="Times New Roman" w:hAnsi="Times New Roman"/>
          <w:color w:val="0D0D0D"/>
          <w:sz w:val="24"/>
        </w:rPr>
        <w:t>：</w:t>
      </w:r>
    </w:p>
    <w:p w14:paraId="6CBAF378">
      <w:pPr>
        <w:spacing w:line="360" w:lineRule="auto"/>
        <w:ind w:firstLine="480" w:firstLineChars="200"/>
        <w:rPr>
          <w:rFonts w:ascii="宋体" w:hAnsi="宋体" w:eastAsia="宋体" w:cs="宋体"/>
          <w:sz w:val="24"/>
          <w:szCs w:val="24"/>
        </w:rPr>
      </w:pPr>
      <w:r>
        <w:rPr>
          <w:rFonts w:hint="eastAsia" w:ascii="Times New Roman" w:hAnsi="Times New Roman"/>
          <w:color w:val="0D0D0D"/>
          <w:sz w:val="24"/>
        </w:rPr>
        <w:t>排名第一单位：湖南省儿童医院（中南大学湘雅医学院附属儿童医院）</w:t>
      </w:r>
      <w:r>
        <w:rPr>
          <w:rFonts w:hint="eastAsia" w:ascii="宋体" w:hAnsi="宋体" w:eastAsia="宋体" w:cs="宋体"/>
          <w:sz w:val="24"/>
          <w:szCs w:val="24"/>
          <w:lang w:eastAsia="zh-CN"/>
        </w:rPr>
        <w:t>，</w:t>
      </w:r>
      <w:r>
        <w:rPr>
          <w:rFonts w:ascii="宋体" w:hAnsi="宋体" w:eastAsia="宋体" w:cs="宋体"/>
          <w:sz w:val="24"/>
          <w:szCs w:val="24"/>
        </w:rPr>
        <w:t>本项目依托医院关键病例库、标准化生物样本库及功能导向的临床管理体系，为研究提供了从数据、机制到实践的全链条支撑。</w:t>
      </w:r>
    </w:p>
    <w:p w14:paraId="72A57C7F">
      <w:pPr>
        <w:spacing w:line="360" w:lineRule="auto"/>
        <w:ind w:firstLine="480" w:firstLineChars="200"/>
        <w:rPr>
          <w:rFonts w:hint="eastAsia" w:ascii="Times New Roman" w:hAnsi="Times New Roman" w:eastAsia="宋体"/>
          <w:color w:val="0D0D0D"/>
          <w:sz w:val="24"/>
          <w:lang w:eastAsia="zh-CN"/>
        </w:rPr>
      </w:pPr>
      <w:r>
        <w:rPr>
          <w:rFonts w:hint="eastAsia" w:ascii="Times New Roman" w:hAnsi="Times New Roman"/>
          <w:color w:val="0D0D0D"/>
          <w:sz w:val="24"/>
        </w:rPr>
        <w:t>排名第二单位：浙江大学医学院附属第一医院</w:t>
      </w:r>
      <w:r>
        <w:rPr>
          <w:rFonts w:hint="eastAsia" w:ascii="Times New Roman" w:hAnsi="Times New Roman"/>
          <w:color w:val="0D0D0D"/>
          <w:sz w:val="24"/>
          <w:lang w:eastAsia="zh-CN"/>
        </w:rPr>
        <w:t>，</w:t>
      </w:r>
      <w:r>
        <w:rPr>
          <w:rFonts w:ascii="宋体" w:hAnsi="宋体" w:eastAsia="宋体" w:cs="宋体"/>
          <w:sz w:val="24"/>
          <w:szCs w:val="24"/>
        </w:rPr>
        <w:t>为本项目的重要参与单位，在分子机制探索与先进技术应用方面提供了核心支撑。</w:t>
      </w:r>
    </w:p>
    <w:p w14:paraId="62B86459">
      <w:pPr>
        <w:pStyle w:val="2"/>
        <w:spacing w:line="360" w:lineRule="auto"/>
        <w:jc w:val="center"/>
        <w:rPr>
          <w:rFonts w:hint="eastAsia" w:ascii="方正公文小标宋" w:hAnsi="方正公文小标宋" w:eastAsia="方正公文小标宋" w:cs="方正公文小标宋"/>
          <w:b/>
          <w:bCs/>
          <w:sz w:val="36"/>
          <w:szCs w:val="36"/>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C74C1373-8975-4E57-B60B-070A0DDB9C1B}"/>
  </w:font>
  <w:font w:name="方正公文小标宋">
    <w:panose1 w:val="02000500000000000000"/>
    <w:charset w:val="86"/>
    <w:family w:val="auto"/>
    <w:pitch w:val="default"/>
    <w:sig w:usb0="A00002BF" w:usb1="38CF7CFA" w:usb2="00000016" w:usb3="00000000" w:csb0="00040001" w:csb1="00000000"/>
    <w:embedRegular r:id="rId2" w:fontKey="{403A151A-9E09-4C45-A0DE-D7380C756FBE}"/>
  </w:font>
  <w:font w:name="鏂规灏忔爣瀹媉GBK">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ans-serif">
    <w:altName w:val="Segoe Print"/>
    <w:panose1 w:val="00000000000000000000"/>
    <w:charset w:val="00"/>
    <w:family w:val="auto"/>
    <w:pitch w:val="default"/>
    <w:sig w:usb0="00000000" w:usb1="00000000" w:usb2="00000000" w:usb3="00000000" w:csb0="00040001" w:csb1="00000000"/>
    <w:embedRegular r:id="rId3" w:fontKey="{ED3A2C51-82E5-4B9A-8C10-79510695199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3053EF"/>
    <w:multiLevelType w:val="singleLevel"/>
    <w:tmpl w:val="313053EF"/>
    <w:lvl w:ilvl="0" w:tentative="0">
      <w:start w:val="1"/>
      <w:numFmt w:val="decimal"/>
      <w:suff w:val="nothing"/>
      <w:lvlText w:val="（%1）"/>
      <w:lvlJc w:val="left"/>
    </w:lvl>
  </w:abstractNum>
  <w:abstractNum w:abstractNumId="1">
    <w:nsid w:val="71871D2F"/>
    <w:multiLevelType w:val="multilevel"/>
    <w:tmpl w:val="71871D2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1F5857"/>
    <w:rsid w:val="03F84410"/>
    <w:rsid w:val="047238F8"/>
    <w:rsid w:val="0A874C41"/>
    <w:rsid w:val="14411E19"/>
    <w:rsid w:val="14665D24"/>
    <w:rsid w:val="15472462"/>
    <w:rsid w:val="180715CC"/>
    <w:rsid w:val="18F356AC"/>
    <w:rsid w:val="1C4729C9"/>
    <w:rsid w:val="204038CD"/>
    <w:rsid w:val="21F41836"/>
    <w:rsid w:val="23C05774"/>
    <w:rsid w:val="259F1096"/>
    <w:rsid w:val="2978691A"/>
    <w:rsid w:val="2A9E7B6E"/>
    <w:rsid w:val="2C077995"/>
    <w:rsid w:val="3570212A"/>
    <w:rsid w:val="3C2459F9"/>
    <w:rsid w:val="3F9B5FD2"/>
    <w:rsid w:val="4A27462A"/>
    <w:rsid w:val="4C5B7215"/>
    <w:rsid w:val="4C6F6A75"/>
    <w:rsid w:val="4CBB28BC"/>
    <w:rsid w:val="4CBE2FFD"/>
    <w:rsid w:val="4DD3727F"/>
    <w:rsid w:val="4E191136"/>
    <w:rsid w:val="51F44076"/>
    <w:rsid w:val="52085A22"/>
    <w:rsid w:val="54CA13DC"/>
    <w:rsid w:val="58E1622E"/>
    <w:rsid w:val="5AC36177"/>
    <w:rsid w:val="5B9B13DC"/>
    <w:rsid w:val="5C324358"/>
    <w:rsid w:val="5E251431"/>
    <w:rsid w:val="61497B2C"/>
    <w:rsid w:val="690D143F"/>
    <w:rsid w:val="6C661592"/>
    <w:rsid w:val="713954C7"/>
    <w:rsid w:val="7A0422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pPr>
      <w:spacing w:after="120"/>
    </w:pPr>
  </w:style>
  <w:style w:type="paragraph" w:styleId="3">
    <w:name w:val="Plain Text"/>
    <w:basedOn w:val="1"/>
    <w:semiHidden/>
    <w:qFormat/>
    <w:uiPriority w:val="0"/>
    <w:pPr>
      <w:spacing w:line="360" w:lineRule="auto"/>
      <w:ind w:firstLine="480" w:firstLineChars="200"/>
    </w:pPr>
    <w:rPr>
      <w:rFonts w:ascii="仿宋_GB2312"/>
      <w:sz w:val="24"/>
    </w:rPr>
  </w:style>
  <w:style w:type="paragraph" w:styleId="4">
    <w:name w:val="footer"/>
    <w:basedOn w:val="1"/>
    <w:unhideWhenUsed/>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Normal (Web)"/>
    <w:basedOn w:val="1"/>
    <w:uiPriority w:val="0"/>
    <w:pPr>
      <w:spacing w:before="100" w:beforeAutospacing="1" w:after="100" w:afterAutospacing="1"/>
      <w:ind w:left="0" w:right="0"/>
      <w:jc w:val="left"/>
    </w:pPr>
    <w:rPr>
      <w:kern w:val="0"/>
      <w:sz w:val="24"/>
      <w:lang w:val="en-US" w:eastAsia="zh-CN" w:bidi="ar"/>
    </w:rPr>
  </w:style>
  <w:style w:type="character" w:styleId="8">
    <w:name w:val="page number"/>
    <w:basedOn w:val="7"/>
    <w:qFormat/>
    <w:uiPriority w:val="0"/>
  </w:style>
  <w:style w:type="paragraph" w:customStyle="1" w:styleId="9">
    <w:name w:val="Table Paragraph"/>
    <w:basedOn w:val="1"/>
    <w:qFormat/>
    <w:uiPriority w:val="1"/>
    <w:pPr>
      <w:autoSpaceDE w:val="0"/>
      <w:autoSpaceDN w:val="0"/>
      <w:spacing w:before="39"/>
      <w:ind w:left="5"/>
      <w:jc w:val="left"/>
    </w:pPr>
    <w:rPr>
      <w:rFonts w:ascii="宋体" w:hAnsi="宋体" w:cs="宋体"/>
      <w:kern w:val="0"/>
      <w:sz w:val="22"/>
      <w:szCs w:val="22"/>
      <w:lang w:eastAsia="en-US"/>
    </w:rPr>
  </w:style>
  <w:style w:type="table" w:customStyle="1" w:styleId="10">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styleId="1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2701</Words>
  <Characters>5624</Characters>
  <Lines>0</Lines>
  <Paragraphs>0</Paragraphs>
  <TotalTime>31</TotalTime>
  <ScaleCrop>false</ScaleCrop>
  <LinksUpToDate>false</LinksUpToDate>
  <CharactersWithSpaces>6050</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2025-08-15T02:21:00Z</dcterms:created>
  <dc:creator>Administrator</dc:creator>
  <cp:lastModifiedBy>兰兰兰蓝蓝</cp:lastModifiedBy>
  <dcterms:modified xsi:type="dcterms:W3CDTF">2025-11-03T09:18:16Z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eyJoZGlkIjoiNmUyZTkyNDVmZmJlMzg5ZmZjMzI1MjczMDYxMTJjN2UiLCJ1c2VySWQiOiI1ODA1MzU0NDIifQ==</vt:lpwstr>
  </property>
  <property fmtid="{D5CDD505-2E9C-101B-9397-08002B2CF9AE}" pid="4" name="ICV">
    <vt:lpwstr>46F329E3B99D4FB79FB0002891CA3705_13</vt:lpwstr>
  </property>
</Properties>
</file>