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9D96F">
      <w:pPr>
        <w:pStyle w:val="7"/>
        <w:spacing w:line="360" w:lineRule="auto"/>
      </w:pPr>
    </w:p>
    <w:p w14:paraId="399B0D20">
      <w:pPr>
        <w:pStyle w:val="7"/>
        <w:spacing w:line="360" w:lineRule="auto"/>
      </w:pPr>
    </w:p>
    <w:p w14:paraId="56E51698">
      <w:pPr>
        <w:pStyle w:val="7"/>
        <w:spacing w:line="360" w:lineRule="auto"/>
      </w:pPr>
    </w:p>
    <w:p w14:paraId="06ED5295">
      <w:pPr>
        <w:pStyle w:val="7"/>
        <w:spacing w:line="360" w:lineRule="auto"/>
      </w:pPr>
    </w:p>
    <w:p w14:paraId="3E5800F3">
      <w:pPr>
        <w:pStyle w:val="7"/>
        <w:spacing w:line="360" w:lineRule="auto"/>
      </w:pPr>
      <w:r>
        <w:t>窗体顶端</w:t>
      </w:r>
    </w:p>
    <w:p w14:paraId="430D223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关于2025年元旦放假期间检查检验时间的通知</w:t>
      </w:r>
    </w:p>
    <w:p w14:paraId="22F6B8D9">
      <w:pPr>
        <w:spacing w:line="360" w:lineRule="auto"/>
        <w:rPr>
          <w:rFonts w:ascii="宋体" w:hAnsi="宋体"/>
          <w:sz w:val="22"/>
          <w:szCs w:val="22"/>
        </w:rPr>
      </w:pPr>
    </w:p>
    <w:p w14:paraId="585AA880">
      <w:pPr>
        <w:spacing w:line="360" w:lineRule="auto"/>
        <w:ind w:right="66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各科室：</w:t>
      </w:r>
    </w:p>
    <w:p w14:paraId="4238FDE2">
      <w:pPr>
        <w:spacing w:line="360" w:lineRule="auto"/>
        <w:ind w:right="106" w:firstLine="600"/>
        <w:jc w:val="lef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2025年元旦放假时间为1月1日（周三，不调休）</w:t>
      </w:r>
      <w:r>
        <w:rPr>
          <w:rFonts w:hint="eastAsia" w:ascii="宋体" w:hAnsi="宋体" w:cs="宋体"/>
          <w:sz w:val="30"/>
          <w:szCs w:val="30"/>
          <w:lang w:eastAsia="zh-CN"/>
        </w:rPr>
        <w:t>，</w:t>
      </w:r>
      <w:r>
        <w:rPr>
          <w:rFonts w:hint="eastAsia" w:ascii="宋体" w:hAnsi="宋体" w:cs="宋体"/>
          <w:sz w:val="30"/>
          <w:szCs w:val="30"/>
        </w:rPr>
        <w:t>为方便病人就诊，现将元旦放假期间各临床医技科室检验检查时间公布如下，请相互转告并遵照执行。</w:t>
      </w:r>
      <w:r>
        <w:rPr>
          <w:rFonts w:hint="eastAsia" w:ascii="宋体" w:hAnsi="宋体" w:cs="宋体"/>
          <w:color w:val="FF0000"/>
          <w:sz w:val="30"/>
          <w:szCs w:val="30"/>
        </w:rPr>
        <w:br w:type="textWrapping"/>
      </w:r>
      <w:r>
        <w:rPr>
          <w:rFonts w:hint="eastAsia" w:ascii="宋体" w:hAnsi="宋体" w:cs="宋体"/>
          <w:color w:val="000000" w:themeColor="text1"/>
          <w:sz w:val="30"/>
          <w:szCs w:val="30"/>
        </w:rPr>
        <w:t xml:space="preserve">                         </w:t>
      </w:r>
    </w:p>
    <w:p w14:paraId="00EAB402">
      <w:pPr>
        <w:spacing w:line="360" w:lineRule="auto"/>
        <w:ind w:right="66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医务部门诊办</w:t>
      </w:r>
    </w:p>
    <w:p w14:paraId="6E86A398">
      <w:pPr>
        <w:spacing w:line="360" w:lineRule="auto"/>
        <w:ind w:right="735"/>
        <w:jc w:val="right"/>
        <w:rPr>
          <w:rFonts w:ascii="宋体" w:hAnsi="宋体" w:cs="宋体"/>
          <w:color w:val="000000" w:themeColor="text1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sz w:val="30"/>
          <w:szCs w:val="30"/>
        </w:rPr>
        <w:t>2024年12月2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</w:rPr>
        <w:t>0</w:t>
      </w:r>
      <w:r>
        <w:rPr>
          <w:rFonts w:hint="eastAsia" w:ascii="宋体" w:hAnsi="宋体" w:cs="宋体"/>
          <w:color w:val="000000" w:themeColor="text1"/>
          <w:sz w:val="30"/>
          <w:szCs w:val="30"/>
        </w:rPr>
        <w:t>日</w:t>
      </w:r>
    </w:p>
    <w:p w14:paraId="2AC9E89D">
      <w:pPr>
        <w:widowControl/>
        <w:spacing w:line="360" w:lineRule="auto"/>
        <w:ind w:right="735"/>
        <w:jc w:val="center"/>
        <w:rPr>
          <w:rFonts w:ascii="宋体" w:hAnsi="宋体" w:eastAsia="宋体" w:cs="Times New Roman"/>
          <w:b/>
          <w:szCs w:val="21"/>
        </w:rPr>
      </w:pPr>
    </w:p>
    <w:p w14:paraId="4D84F0E2">
      <w:pPr>
        <w:widowControl/>
        <w:spacing w:line="360" w:lineRule="auto"/>
        <w:ind w:right="735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一、</w:t>
      </w:r>
      <w:r>
        <w:rPr>
          <w:rFonts w:hint="eastAsia" w:ascii="宋体" w:hAnsi="宋体" w:eastAsia="宋体" w:cs="宋体"/>
          <w:b/>
          <w:color w:val="auto"/>
          <w:szCs w:val="21"/>
        </w:rPr>
        <w:t>医学遗传科</w:t>
      </w:r>
    </w:p>
    <w:p w14:paraId="24DBC56B">
      <w:pPr>
        <w:pStyle w:val="4"/>
        <w:widowControl/>
        <w:spacing w:beforeAutospacing="0" w:afterAutospacing="0" w:line="360" w:lineRule="auto"/>
        <w:jc w:val="both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1.门诊正常开放，所有项目均正常收标本。</w:t>
      </w:r>
    </w:p>
    <w:p w14:paraId="498C872A">
      <w:pPr>
        <w:pStyle w:val="4"/>
        <w:widowControl/>
        <w:adjustRightInd w:val="0"/>
        <w:snapToGrid w:val="0"/>
        <w:spacing w:beforeAutospacing="0" w:afterAutospacing="0" w:line="360" w:lineRule="auto"/>
        <w:rPr>
          <w:rFonts w:ascii="Times New Roman" w:hAnsi="Times New Roman" w:eastAsia="华文楷体"/>
          <w:color w:val="auto"/>
          <w:sz w:val="21"/>
          <w:szCs w:val="21"/>
        </w:rPr>
      </w:pPr>
      <w:r>
        <w:rPr>
          <w:rFonts w:ascii="Times New Roman" w:hAnsi="Times New Roman" w:eastAsia="华文楷体"/>
          <w:color w:val="auto"/>
          <w:sz w:val="21"/>
          <w:szCs w:val="21"/>
        </w:rPr>
        <w:t>2.微生物宏基因组DNA DNA+RNA，宏基因靶向测序（2万种）：</w:t>
      </w:r>
      <w:r>
        <w:rPr>
          <w:rFonts w:ascii="Times New Roman" w:hAnsi="Times New Roman" w:eastAsia="宋体"/>
          <w:color w:val="auto"/>
          <w:sz w:val="21"/>
          <w:szCs w:val="21"/>
        </w:rPr>
        <w:t>48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小时</w:t>
      </w:r>
      <w:r>
        <w:rPr>
          <w:rFonts w:ascii="Times New Roman" w:hAnsi="Times New Roman" w:eastAsia="宋体"/>
          <w:color w:val="auto"/>
          <w:sz w:val="21"/>
          <w:szCs w:val="21"/>
        </w:rPr>
        <w:t>出结果。</w:t>
      </w:r>
    </w:p>
    <w:p w14:paraId="2E92D871">
      <w:pPr>
        <w:pStyle w:val="4"/>
        <w:widowControl/>
        <w:adjustRightInd w:val="0"/>
        <w:snapToGrid w:val="0"/>
        <w:spacing w:beforeAutospacing="0" w:afterAutospacing="0" w:line="360" w:lineRule="auto"/>
        <w:jc w:val="both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华文楷体"/>
          <w:color w:val="auto"/>
          <w:sz w:val="21"/>
          <w:szCs w:val="21"/>
        </w:rPr>
        <w:t>3. 107/198种病原体靶向测序，多种神经系统病原体靶向测序：</w:t>
      </w:r>
      <w:r>
        <w:rPr>
          <w:rFonts w:ascii="Times New Roman" w:hAnsi="Times New Roman" w:eastAsia="宋体"/>
          <w:color w:val="auto"/>
          <w:sz w:val="21"/>
          <w:szCs w:val="21"/>
        </w:rPr>
        <w:t>16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:</w:t>
      </w:r>
      <w:r>
        <w:rPr>
          <w:rFonts w:ascii="Times New Roman" w:hAnsi="Times New Roman" w:eastAsia="宋体"/>
          <w:color w:val="auto"/>
          <w:sz w:val="21"/>
          <w:szCs w:val="21"/>
        </w:rPr>
        <w:t>00之前标本，第二天16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:</w:t>
      </w:r>
      <w:r>
        <w:rPr>
          <w:rFonts w:ascii="Times New Roman" w:hAnsi="Times New Roman" w:eastAsia="宋体"/>
          <w:color w:val="auto"/>
          <w:sz w:val="21"/>
          <w:szCs w:val="21"/>
        </w:rPr>
        <w:t>30出结果。</w:t>
      </w:r>
    </w:p>
    <w:p w14:paraId="6F1503A9">
      <w:pPr>
        <w:pStyle w:val="4"/>
        <w:widowControl/>
        <w:spacing w:beforeAutospacing="0" w:afterAutospacing="0" w:line="360" w:lineRule="auto"/>
        <w:jc w:val="both"/>
        <w:rPr>
          <w:rFonts w:ascii="Times New Roman" w:hAnsi="Times New Roman" w:eastAsia="华文楷体"/>
          <w:color w:val="auto"/>
          <w:sz w:val="21"/>
          <w:szCs w:val="21"/>
        </w:rPr>
      </w:pPr>
      <w:r>
        <w:rPr>
          <w:rFonts w:ascii="Times New Roman" w:hAnsi="Times New Roman" w:eastAsia="华文楷体"/>
          <w:color w:val="auto"/>
          <w:sz w:val="21"/>
          <w:szCs w:val="21"/>
        </w:rPr>
        <w:t>4.溶贫全套 、溶血全套、血红蛋白成分分析、红细胞孵育渗透脆性试验、抗碱血红蛋白测定：</w:t>
      </w:r>
    </w:p>
    <w:p w14:paraId="1E1864BB">
      <w:pPr>
        <w:pStyle w:val="4"/>
        <w:widowControl/>
        <w:spacing w:beforeAutospacing="0" w:afterAutospacing="0" w:line="360" w:lineRule="auto"/>
        <w:ind w:firstLine="420" w:firstLineChars="200"/>
        <w:jc w:val="both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正常出结果</w:t>
      </w:r>
      <w:r>
        <w:rPr>
          <w:rFonts w:ascii="Times New Roman" w:hAnsi="Times New Roman" w:eastAsia="宋体"/>
          <w:color w:val="auto"/>
          <w:sz w:val="21"/>
          <w:szCs w:val="21"/>
        </w:rPr>
        <w:t>。</w:t>
      </w:r>
    </w:p>
    <w:p w14:paraId="5EDDA585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华文楷体"/>
          <w:color w:val="auto"/>
          <w:sz w:val="21"/>
          <w:szCs w:val="21"/>
        </w:rPr>
        <w:t>地中海贫血基因检测、G6PD酶基因（热点突变）检测：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正常出结果</w:t>
      </w:r>
      <w:r>
        <w:rPr>
          <w:rFonts w:ascii="Times New Roman" w:hAnsi="Times New Roman" w:eastAsia="宋体"/>
          <w:color w:val="auto"/>
          <w:sz w:val="21"/>
          <w:szCs w:val="21"/>
        </w:rPr>
        <w:t>。</w:t>
      </w:r>
    </w:p>
    <w:p w14:paraId="27886633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 xml:space="preserve">6. </w:t>
      </w:r>
      <w:r>
        <w:rPr>
          <w:rFonts w:ascii="Times New Roman" w:hAnsi="Times New Roman" w:eastAsia="华文楷体"/>
          <w:color w:val="auto"/>
          <w:sz w:val="21"/>
          <w:szCs w:val="21"/>
        </w:rPr>
        <w:t>MTHFR基因多态性分析：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正常出结果</w:t>
      </w:r>
      <w:r>
        <w:rPr>
          <w:rFonts w:ascii="Times New Roman" w:hAnsi="Times New Roman" w:eastAsia="宋体"/>
          <w:color w:val="auto"/>
          <w:sz w:val="21"/>
          <w:szCs w:val="21"/>
        </w:rPr>
        <w:t>。</w:t>
      </w:r>
    </w:p>
    <w:p w14:paraId="32F9452F">
      <w:pPr>
        <w:pStyle w:val="4"/>
        <w:widowControl/>
        <w:spacing w:beforeAutospacing="0" w:afterAutospacing="0" w:line="360" w:lineRule="auto"/>
        <w:jc w:val="both"/>
        <w:rPr>
          <w:rFonts w:ascii="Times New Roman" w:hAnsi="Times New Roman" w:eastAsia="华文楷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7.</w:t>
      </w:r>
      <w:r>
        <w:rPr>
          <w:rFonts w:ascii="Times New Roman" w:hAnsi="Times New Roman" w:eastAsia="华文楷体"/>
          <w:color w:val="auto"/>
          <w:sz w:val="21"/>
          <w:szCs w:val="21"/>
        </w:rPr>
        <w:t>药物性耳聋基因检测：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正常出结果</w:t>
      </w:r>
      <w:r>
        <w:rPr>
          <w:rFonts w:ascii="Times New Roman" w:hAnsi="Times New Roman" w:eastAsia="宋体"/>
          <w:color w:val="auto"/>
          <w:sz w:val="21"/>
          <w:szCs w:val="21"/>
        </w:rPr>
        <w:t>。</w:t>
      </w:r>
    </w:p>
    <w:p w14:paraId="29F73D9A">
      <w:pPr>
        <w:pStyle w:val="4"/>
        <w:widowControl/>
        <w:spacing w:beforeAutospacing="0" w:afterAutospacing="0" w:line="360" w:lineRule="auto"/>
        <w:jc w:val="both"/>
        <w:rPr>
          <w:rFonts w:eastAsia="宋体"/>
          <w:color w:val="FF0000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8.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高通量遗传检测和染色体检测等</w:t>
      </w:r>
      <w:r>
        <w:rPr>
          <w:rFonts w:ascii="Times New Roman" w:hAnsi="Times New Roman" w:eastAsia="宋体"/>
          <w:color w:val="auto"/>
          <w:sz w:val="21"/>
          <w:szCs w:val="21"/>
        </w:rPr>
        <w:t>其余项目均正常出</w:t>
      </w:r>
      <w:r>
        <w:rPr>
          <w:rFonts w:hint="eastAsia" w:ascii="Times New Roman" w:hAnsi="Times New Roman" w:eastAsia="宋体"/>
          <w:color w:val="auto"/>
          <w:sz w:val="21"/>
          <w:szCs w:val="21"/>
          <w:lang w:val="en-US" w:eastAsia="zh-CN"/>
        </w:rPr>
        <w:t>结果</w:t>
      </w:r>
      <w:r>
        <w:rPr>
          <w:rFonts w:ascii="Times New Roman" w:hAnsi="Times New Roman" w:eastAsia="宋体"/>
          <w:color w:val="auto"/>
          <w:sz w:val="21"/>
          <w:szCs w:val="21"/>
        </w:rPr>
        <w:t>。</w:t>
      </w:r>
    </w:p>
    <w:p w14:paraId="6FEA6811">
      <w:pPr>
        <w:widowControl/>
        <w:spacing w:line="360" w:lineRule="auto"/>
        <w:jc w:val="left"/>
      </w:pPr>
      <w:r>
        <w:rPr>
          <w:rFonts w:hint="eastAsia" w:ascii="宋体" w:hAnsi="宋体" w:eastAsia="宋体" w:cs="Times New Roman"/>
          <w:b/>
          <w:szCs w:val="21"/>
        </w:rPr>
        <w:t>二、</w:t>
      </w:r>
      <w:r>
        <w:rPr>
          <w:rFonts w:hint="eastAsia" w:ascii="宋体" w:hAnsi="宋体" w:eastAsia="宋体" w:cs="宋体"/>
          <w:b/>
          <w:szCs w:val="21"/>
        </w:rPr>
        <w:t>检验中心</w:t>
      </w:r>
    </w:p>
    <w:p w14:paraId="31DB9319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7BFB58D9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三、</w:t>
      </w:r>
      <w:r>
        <w:rPr>
          <w:rFonts w:hint="eastAsia" w:ascii="宋体" w:hAnsi="宋体" w:eastAsia="宋体" w:cs="宋体"/>
          <w:b/>
          <w:color w:val="auto"/>
          <w:szCs w:val="21"/>
        </w:rPr>
        <w:t>药学部</w:t>
      </w:r>
    </w:p>
    <w:p w14:paraId="63E0FE17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1.血药浓度检测：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元旦放假期间不开放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 w14:paraId="22069F90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四、</w:t>
      </w:r>
      <w:r>
        <w:rPr>
          <w:rFonts w:hint="eastAsia" w:ascii="宋体" w:hAnsi="宋体" w:eastAsia="宋体" w:cs="宋体"/>
          <w:b/>
          <w:color w:val="auto"/>
          <w:szCs w:val="21"/>
        </w:rPr>
        <w:t>消化内镜中心</w:t>
      </w:r>
    </w:p>
    <w:p w14:paraId="0355E1DA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69DD30E1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五、神经内科</w:t>
      </w:r>
    </w:p>
    <w:p w14:paraId="696F40C9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1.脑电图：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2789D9E2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2.肌电图及诱发电位：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开放。</w:t>
      </w:r>
    </w:p>
    <w:p w14:paraId="19AD67AC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Cs w:val="21"/>
        </w:rPr>
        <w:t>六、放射科</w:t>
      </w:r>
    </w:p>
    <w:p w14:paraId="561C77F1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31BE2993">
      <w:pPr>
        <w:pStyle w:val="4"/>
        <w:widowControl/>
        <w:spacing w:beforeAutospacing="0" w:afterAutospacing="0" w:line="360" w:lineRule="auto"/>
        <w:jc w:val="both"/>
        <w:rPr>
          <w:color w:val="auto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Cs w:val="21"/>
        </w:rPr>
        <w:t>七、超声科</w:t>
      </w:r>
    </w:p>
    <w:p w14:paraId="6EECC6C3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1.普通彩超：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2ABCDBCB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2.心脏彩超：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6871D4EF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3.床旁彩超：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放假期间开放普通腹部床旁和急诊心脏床旁彩超。</w:t>
      </w:r>
    </w:p>
    <w:p w14:paraId="2AA9E1C0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八、皮肤科</w:t>
      </w:r>
    </w:p>
    <w:p w14:paraId="76E0A397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7AD0BB7D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九、呼吸内科</w:t>
      </w:r>
    </w:p>
    <w:p w14:paraId="6AB5FAC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1.肺功能检查、呼出气一氧化氮测定：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73652949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2.纤支镜检查：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放假期间停做检查，急危重病人根据情况临时安排。</w:t>
      </w:r>
    </w:p>
    <w:p w14:paraId="24EFA6FD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十、耳鼻咽喉头颈外科</w:t>
      </w:r>
    </w:p>
    <w:p w14:paraId="5FE15365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8FABC48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十一</w:t>
      </w:r>
      <w:r>
        <w:rPr>
          <w:rFonts w:hint="eastAsia" w:ascii="宋体" w:hAnsi="宋体" w:eastAsia="宋体" w:cs="宋体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眼</w:t>
      </w:r>
      <w:r>
        <w:rPr>
          <w:rFonts w:hint="eastAsia" w:ascii="宋体" w:hAnsi="宋体" w:eastAsia="宋体" w:cs="宋体"/>
          <w:b/>
          <w:color w:val="auto"/>
          <w:szCs w:val="21"/>
        </w:rPr>
        <w:t>科</w:t>
      </w:r>
    </w:p>
    <w:p w14:paraId="6332B8CF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  <w:lang w:val="en-US" w:eastAsia="zh-CN"/>
        </w:rPr>
        <w:t>广域视网膜检查</w:t>
      </w: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开放。</w:t>
      </w:r>
    </w:p>
    <w:p w14:paraId="01346F0A">
      <w:pPr>
        <w:widowControl/>
        <w:spacing w:line="360" w:lineRule="auto"/>
        <w:jc w:val="left"/>
        <w:rPr>
          <w:color w:val="000000" w:themeColor="text1"/>
        </w:rPr>
      </w:pPr>
      <w:r>
        <w:rPr>
          <w:rFonts w:hint="eastAsia" w:ascii="宋体" w:hAnsi="宋体" w:eastAsia="宋体" w:cs="宋体"/>
          <w:b/>
          <w:color w:val="000000" w:themeColor="text1"/>
          <w:szCs w:val="21"/>
        </w:rPr>
        <w:t>十</w:t>
      </w:r>
      <w:r>
        <w:rPr>
          <w:rFonts w:hint="eastAsia" w:ascii="宋体" w:hAnsi="宋体" w:eastAsia="宋体" w:cs="宋体"/>
          <w:b/>
          <w:color w:val="000000" w:themeColor="text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Cs w:val="21"/>
        </w:rPr>
        <w:t>、康复中心</w:t>
      </w:r>
    </w:p>
    <w:p w14:paraId="110AC545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1.所有评估检查：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放假期间正常开放。</w:t>
      </w:r>
    </w:p>
    <w:p w14:paraId="0EC1389B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 w:themeColor="text1"/>
          <w:sz w:val="21"/>
          <w:szCs w:val="21"/>
        </w:rPr>
        <w:t>2.床旁康复治疗及高压氧：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放假期间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开放。</w:t>
      </w:r>
    </w:p>
    <w:p w14:paraId="06A60D92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三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</w:rPr>
        <w:t>儿童保健所</w:t>
      </w:r>
    </w:p>
    <w:p w14:paraId="6E057DA9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1.骨龄报告结果：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放假期间不发报告。</w:t>
      </w:r>
    </w:p>
    <w:p w14:paraId="3B4F7281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szCs w:val="21"/>
        </w:rPr>
        <w:t>十</w:t>
      </w:r>
      <w:r>
        <w:rPr>
          <w:rFonts w:hint="eastAsia" w:ascii="宋体" w:hAnsi="宋体" w:eastAsia="宋体" w:cs="Times New Roman"/>
          <w:b/>
          <w:color w:val="auto"/>
          <w:szCs w:val="21"/>
          <w:lang w:val="en-US" w:eastAsia="zh-CN"/>
        </w:rPr>
        <w:t>四</w:t>
      </w:r>
      <w:r>
        <w:rPr>
          <w:rFonts w:hint="eastAsia" w:ascii="宋体" w:hAnsi="宋体" w:eastAsia="宋体" w:cs="Times New Roman"/>
          <w:b/>
          <w:color w:val="auto"/>
          <w:szCs w:val="21"/>
        </w:rPr>
        <w:t>、</w:t>
      </w:r>
      <w:r>
        <w:rPr>
          <w:rFonts w:hint="eastAsia" w:ascii="宋体" w:hAnsi="宋体" w:eastAsia="宋体" w:cs="宋体"/>
          <w:b/>
          <w:color w:val="auto"/>
          <w:szCs w:val="21"/>
        </w:rPr>
        <w:t>舒适化中心</w:t>
      </w:r>
    </w:p>
    <w:p w14:paraId="4BA92D4E">
      <w:pPr>
        <w:pStyle w:val="4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 w14:paraId="5201AF10">
      <w:pPr>
        <w:widowControl/>
        <w:spacing w:line="360" w:lineRule="auto"/>
        <w:jc w:val="left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szCs w:val="21"/>
        </w:rPr>
        <w:t>十</w:t>
      </w:r>
      <w:r>
        <w:rPr>
          <w:rFonts w:hint="eastAsia" w:ascii="宋体" w:hAnsi="宋体" w:eastAsia="宋体" w:cs="宋体"/>
          <w:b/>
          <w:color w:val="auto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auto"/>
          <w:szCs w:val="21"/>
        </w:rPr>
        <w:t>、客户服务中心</w:t>
      </w:r>
    </w:p>
    <w:p w14:paraId="4665D46B">
      <w:pPr>
        <w:pStyle w:val="4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sz w:val="21"/>
          <w:szCs w:val="21"/>
        </w:rPr>
        <w:t>1.电话预约和咨询服务：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元旦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放假期间24小时开放。</w:t>
      </w:r>
    </w:p>
    <w:p w14:paraId="18BCAAE1">
      <w:pPr>
        <w:pStyle w:val="8"/>
        <w:spacing w:line="360" w:lineRule="auto"/>
        <w:rPr>
          <w:color w:val="FF0000"/>
        </w:rPr>
      </w:pPr>
      <w:r>
        <w:rPr>
          <w:color w:val="FF0000"/>
        </w:rPr>
        <w:t>窗体底端</w:t>
      </w:r>
    </w:p>
    <w:p w14:paraId="4555FC91">
      <w:pPr>
        <w:spacing w:line="360" w:lineRule="auto"/>
        <w:rPr>
          <w:color w:val="FF0000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7FF01"/>
    <w:multiLevelType w:val="singleLevel"/>
    <w:tmpl w:val="9D17FF01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6C3D"/>
    <w:rsid w:val="000E2C89"/>
    <w:rsid w:val="001E4571"/>
    <w:rsid w:val="002920E6"/>
    <w:rsid w:val="00302DAD"/>
    <w:rsid w:val="00661B65"/>
    <w:rsid w:val="00886C3D"/>
    <w:rsid w:val="008B3CB9"/>
    <w:rsid w:val="00D904C0"/>
    <w:rsid w:val="01D35AFF"/>
    <w:rsid w:val="02D01A52"/>
    <w:rsid w:val="02D50957"/>
    <w:rsid w:val="02F07BAF"/>
    <w:rsid w:val="042B5A9E"/>
    <w:rsid w:val="04886985"/>
    <w:rsid w:val="04CA58CA"/>
    <w:rsid w:val="05B3654F"/>
    <w:rsid w:val="061F737F"/>
    <w:rsid w:val="06244218"/>
    <w:rsid w:val="079D0A0A"/>
    <w:rsid w:val="09B20DBC"/>
    <w:rsid w:val="0B1241F7"/>
    <w:rsid w:val="0C8448D8"/>
    <w:rsid w:val="0CBA3C71"/>
    <w:rsid w:val="0D097105"/>
    <w:rsid w:val="0D2C322F"/>
    <w:rsid w:val="0E9372CB"/>
    <w:rsid w:val="0F7D3875"/>
    <w:rsid w:val="11725596"/>
    <w:rsid w:val="119445DE"/>
    <w:rsid w:val="125E597B"/>
    <w:rsid w:val="14E127F8"/>
    <w:rsid w:val="14FF1E47"/>
    <w:rsid w:val="15907DCC"/>
    <w:rsid w:val="15C03A7B"/>
    <w:rsid w:val="16A41C05"/>
    <w:rsid w:val="1793015D"/>
    <w:rsid w:val="18F6607F"/>
    <w:rsid w:val="1CAC4388"/>
    <w:rsid w:val="1E254FB6"/>
    <w:rsid w:val="1F12606A"/>
    <w:rsid w:val="1F20475D"/>
    <w:rsid w:val="20B57F4C"/>
    <w:rsid w:val="23757C13"/>
    <w:rsid w:val="23D75501"/>
    <w:rsid w:val="25387269"/>
    <w:rsid w:val="2621670A"/>
    <w:rsid w:val="269331CE"/>
    <w:rsid w:val="26C51DB8"/>
    <w:rsid w:val="27A72484"/>
    <w:rsid w:val="2A3F0510"/>
    <w:rsid w:val="2A9D5487"/>
    <w:rsid w:val="2AEC7876"/>
    <w:rsid w:val="2BAB52F8"/>
    <w:rsid w:val="2BCC6BCC"/>
    <w:rsid w:val="2C881E75"/>
    <w:rsid w:val="2CDC68E3"/>
    <w:rsid w:val="2D383A76"/>
    <w:rsid w:val="2D3F3856"/>
    <w:rsid w:val="2D872B3B"/>
    <w:rsid w:val="2E6A0C5C"/>
    <w:rsid w:val="2F1C652B"/>
    <w:rsid w:val="2F5D49D8"/>
    <w:rsid w:val="2FD94D75"/>
    <w:rsid w:val="2FE515F3"/>
    <w:rsid w:val="32731A17"/>
    <w:rsid w:val="32FF35F9"/>
    <w:rsid w:val="34507EF5"/>
    <w:rsid w:val="346A2568"/>
    <w:rsid w:val="34903234"/>
    <w:rsid w:val="35B60539"/>
    <w:rsid w:val="35B94E46"/>
    <w:rsid w:val="360A5409"/>
    <w:rsid w:val="36E63EF9"/>
    <w:rsid w:val="37A6282A"/>
    <w:rsid w:val="38104EFD"/>
    <w:rsid w:val="38583551"/>
    <w:rsid w:val="389B687A"/>
    <w:rsid w:val="38A31E80"/>
    <w:rsid w:val="38FA788D"/>
    <w:rsid w:val="393535D3"/>
    <w:rsid w:val="393D55D8"/>
    <w:rsid w:val="398813A6"/>
    <w:rsid w:val="39AF2EAA"/>
    <w:rsid w:val="3A3C675F"/>
    <w:rsid w:val="3AD93810"/>
    <w:rsid w:val="3BA65D1E"/>
    <w:rsid w:val="3C094FBB"/>
    <w:rsid w:val="3CDE537D"/>
    <w:rsid w:val="3D6B6F77"/>
    <w:rsid w:val="3DCE4791"/>
    <w:rsid w:val="3E461D2E"/>
    <w:rsid w:val="3EDC0631"/>
    <w:rsid w:val="429C4441"/>
    <w:rsid w:val="42E72B47"/>
    <w:rsid w:val="43311507"/>
    <w:rsid w:val="43871889"/>
    <w:rsid w:val="45FF6E1C"/>
    <w:rsid w:val="47390988"/>
    <w:rsid w:val="47F526C8"/>
    <w:rsid w:val="485A2C49"/>
    <w:rsid w:val="48C42E3F"/>
    <w:rsid w:val="4C217308"/>
    <w:rsid w:val="4C2E0699"/>
    <w:rsid w:val="4C876F86"/>
    <w:rsid w:val="4CBA4759"/>
    <w:rsid w:val="4DA92AE2"/>
    <w:rsid w:val="4DF42EDA"/>
    <w:rsid w:val="4E0038F0"/>
    <w:rsid w:val="4F88707A"/>
    <w:rsid w:val="50DB2B06"/>
    <w:rsid w:val="517C27CE"/>
    <w:rsid w:val="52C720A8"/>
    <w:rsid w:val="532610AA"/>
    <w:rsid w:val="53354ED1"/>
    <w:rsid w:val="53F445C0"/>
    <w:rsid w:val="557E4CD9"/>
    <w:rsid w:val="564B660C"/>
    <w:rsid w:val="569942BF"/>
    <w:rsid w:val="586A4EC5"/>
    <w:rsid w:val="58F5792A"/>
    <w:rsid w:val="594F5902"/>
    <w:rsid w:val="596D2442"/>
    <w:rsid w:val="59C302EB"/>
    <w:rsid w:val="5A711D64"/>
    <w:rsid w:val="5AD90290"/>
    <w:rsid w:val="5AD919D5"/>
    <w:rsid w:val="5B5A3EBC"/>
    <w:rsid w:val="5BD426A2"/>
    <w:rsid w:val="5D8229F7"/>
    <w:rsid w:val="5DD347E7"/>
    <w:rsid w:val="5E6267C2"/>
    <w:rsid w:val="5F874AD7"/>
    <w:rsid w:val="60D04943"/>
    <w:rsid w:val="60E0672D"/>
    <w:rsid w:val="61383316"/>
    <w:rsid w:val="61466558"/>
    <w:rsid w:val="6202382D"/>
    <w:rsid w:val="621A65EF"/>
    <w:rsid w:val="621D41EB"/>
    <w:rsid w:val="6288487F"/>
    <w:rsid w:val="63EB5194"/>
    <w:rsid w:val="6450665B"/>
    <w:rsid w:val="64C82027"/>
    <w:rsid w:val="679A6B4F"/>
    <w:rsid w:val="690606B8"/>
    <w:rsid w:val="6915363E"/>
    <w:rsid w:val="6A9C510E"/>
    <w:rsid w:val="6B1424DF"/>
    <w:rsid w:val="6E2743A8"/>
    <w:rsid w:val="6F3A61CC"/>
    <w:rsid w:val="6F8C718A"/>
    <w:rsid w:val="717E606E"/>
    <w:rsid w:val="722E569B"/>
    <w:rsid w:val="72B91464"/>
    <w:rsid w:val="72F46681"/>
    <w:rsid w:val="73171DB1"/>
    <w:rsid w:val="75C01B60"/>
    <w:rsid w:val="76153960"/>
    <w:rsid w:val="768254A5"/>
    <w:rsid w:val="76BE25F2"/>
    <w:rsid w:val="77206032"/>
    <w:rsid w:val="78807D09"/>
    <w:rsid w:val="7952228D"/>
    <w:rsid w:val="79820F5A"/>
    <w:rsid w:val="7AFC25DE"/>
    <w:rsid w:val="7CE5510E"/>
    <w:rsid w:val="7D111E74"/>
    <w:rsid w:val="7DBC6068"/>
    <w:rsid w:val="7EDB2C3F"/>
    <w:rsid w:val="7F29531F"/>
    <w:rsid w:val="7FD81B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1128</Words>
  <Characters>1229</Characters>
  <Lines>13</Lines>
  <Paragraphs>3</Paragraphs>
  <TotalTime>3</TotalTime>
  <ScaleCrop>false</ScaleCrop>
  <LinksUpToDate>false</LinksUpToDate>
  <CharactersWithSpaces>1258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2024-05-17T03:38:00Z</dcterms:created>
  <dc:creator>ETYY</dc:creator>
  <cp:lastModifiedBy> 许平</cp:lastModifiedBy>
  <dcterms:modified xsi:type="dcterms:W3CDTF">2024-12-20T02:21:11Z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5719C0CF7A36458B913CA29A4C4F076C_12</vt:lpwstr>
  </property>
</Properties>
</file>